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2F75A" w14:textId="509A3BCE" w:rsidR="004752F0" w:rsidRPr="00285343" w:rsidRDefault="00285343" w:rsidP="007C4A2F">
      <w:pPr>
        <w:adjustRightInd w:val="0"/>
        <w:snapToGrid w:val="0"/>
        <w:spacing w:line="480" w:lineRule="auto"/>
        <w:jc w:val="center"/>
        <w:rPr>
          <w:rFonts w:ascii="方正小标宋简体" w:eastAsia="方正小标宋简体" w:hint="eastAsia"/>
          <w:sz w:val="36"/>
          <w:szCs w:val="40"/>
        </w:rPr>
      </w:pPr>
      <w:r w:rsidRPr="00285343">
        <w:rPr>
          <w:rFonts w:ascii="方正小标宋简体" w:eastAsia="方正小标宋简体" w:hint="eastAsia"/>
          <w:sz w:val="36"/>
          <w:szCs w:val="40"/>
        </w:rPr>
        <w:t>研究</w:t>
      </w:r>
      <w:proofErr w:type="gramStart"/>
      <w:r w:rsidRPr="00285343">
        <w:rPr>
          <w:rFonts w:ascii="方正小标宋简体" w:eastAsia="方正小标宋简体" w:hint="eastAsia"/>
          <w:sz w:val="36"/>
          <w:szCs w:val="40"/>
        </w:rPr>
        <w:t>阐释党</w:t>
      </w:r>
      <w:proofErr w:type="gramEnd"/>
      <w:r w:rsidRPr="00285343">
        <w:rPr>
          <w:rFonts w:ascii="方正小标宋简体" w:eastAsia="方正小标宋简体" w:hint="eastAsia"/>
          <w:sz w:val="36"/>
          <w:szCs w:val="40"/>
        </w:rPr>
        <w:t>的二十届四中全会精神重大专项招标选题</w:t>
      </w:r>
    </w:p>
    <w:p w14:paraId="3D8ACB33"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1.“十四五”时期我国经济社会发展的重大成就及经验研究</w:t>
      </w:r>
    </w:p>
    <w:p w14:paraId="391687F8"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2.社会主义现代化阶梯式发展及其规律性研究</w:t>
      </w:r>
    </w:p>
    <w:p w14:paraId="1767CA25"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3.基本实现社会主义现代化取得决定性进展的基本样态和衡量标准研究</w:t>
      </w:r>
    </w:p>
    <w:p w14:paraId="5D0304C6"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4.续写经济快速发展和社会长期稳定两大奇迹新篇章的战略和路径研究</w:t>
      </w:r>
    </w:p>
    <w:p w14:paraId="09394EE3"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5.“十五五”时期我国经济社会发展面临的复杂环境和风险挑战研究</w:t>
      </w:r>
    </w:p>
    <w:p w14:paraId="26A0227A"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6.“十五五”时期高质量发展的新内涵、新要求及其创新实践研究</w:t>
      </w:r>
    </w:p>
    <w:p w14:paraId="7E181003"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7.构建统一、开放、竞争、有序市场体系的战略重点与重大举措研究</w:t>
      </w:r>
    </w:p>
    <w:p w14:paraId="23AD1B64"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8.新时代巩固壮大实体经济根基的理论创新与制度支撑研究</w:t>
      </w:r>
    </w:p>
    <w:p w14:paraId="07241E75"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9.推进实体经济智能化、绿色化、融合化的创新机制与路径研究</w:t>
      </w:r>
    </w:p>
    <w:p w14:paraId="197CEB57"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10.构建以先进制造业为骨干的现代化产业体系研究</w:t>
      </w:r>
    </w:p>
    <w:p w14:paraId="5A413E50"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11.加快产业模式和企业组织形态变革研究</w:t>
      </w:r>
    </w:p>
    <w:p w14:paraId="6E7FCA00"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12.新兴产业规模化发展的培育机制与国际竞争策略研究</w:t>
      </w:r>
    </w:p>
    <w:p w14:paraId="29B31FC4"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13.未来产业投入增长与风险分担机制的政策体系研究</w:t>
      </w:r>
    </w:p>
    <w:p w14:paraId="56879007"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14.提高现代服务业与先进制造业、现代农业融合发展水平的理论及实践研究</w:t>
      </w:r>
    </w:p>
    <w:p w14:paraId="7417CA43"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lastRenderedPageBreak/>
        <w:t>15.加快促进</w:t>
      </w:r>
      <w:proofErr w:type="gramStart"/>
      <w:r w:rsidRPr="00BA587E">
        <w:rPr>
          <w:rFonts w:ascii="仿宋" w:eastAsia="仿宋" w:hAnsi="仿宋"/>
          <w:sz w:val="28"/>
          <w:szCs w:val="28"/>
        </w:rPr>
        <w:t>服务业数智化</w:t>
      </w:r>
      <w:proofErr w:type="gramEnd"/>
      <w:r w:rsidRPr="00BA587E">
        <w:rPr>
          <w:rFonts w:ascii="仿宋" w:eastAsia="仿宋" w:hAnsi="仿宋"/>
          <w:sz w:val="28"/>
          <w:szCs w:val="28"/>
        </w:rPr>
        <w:t>发展的政策体系研究</w:t>
      </w:r>
    </w:p>
    <w:p w14:paraId="4B7B3A47"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16.健全服务业统计监测体系研究</w:t>
      </w:r>
    </w:p>
    <w:p w14:paraId="754F0EAE"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17.多元化韧性强的国际运输通道体系建设及政策保障研究</w:t>
      </w:r>
    </w:p>
    <w:p w14:paraId="2FB976FC"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18.加强基础研究战略性、前瞻性、体系化布局推动原始创新研究</w:t>
      </w:r>
    </w:p>
    <w:p w14:paraId="69BA0DFC"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19.科技创新和产业创新深度融合的体制机制研究</w:t>
      </w:r>
    </w:p>
    <w:p w14:paraId="170BA57E"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20.营造具有全球竞争力的开放创新生态重大问题研究</w:t>
      </w:r>
    </w:p>
    <w:p w14:paraId="75B3A81A"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21.强化企业科技创新主体地位的理论逻辑和机制建设研究</w:t>
      </w:r>
    </w:p>
    <w:p w14:paraId="57F34453"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22.一体推进教育科技人才发展的制度建设与国际比较研究</w:t>
      </w:r>
    </w:p>
    <w:p w14:paraId="1AC84448"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23.全国一体化数据市场建设的基本问题与制度构建研究</w:t>
      </w:r>
    </w:p>
    <w:p w14:paraId="0BEC4E31"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24.促进实体经济和数字经济深度融合的理论及实践研究</w:t>
      </w:r>
    </w:p>
    <w:p w14:paraId="7031C62D"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25.以人工智能引领科研范式变革研究</w:t>
      </w:r>
    </w:p>
    <w:p w14:paraId="6E855D3F"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26.加强人工智能治理的法制体系与伦理准则研究</w:t>
      </w:r>
    </w:p>
    <w:p w14:paraId="65DAFBFF"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27.推动平台经济创新和健康发展研究</w:t>
      </w:r>
    </w:p>
    <w:p w14:paraId="7B5B10B4"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28.投资于物和投资于人紧密结合的理论与政策研究</w:t>
      </w:r>
    </w:p>
    <w:p w14:paraId="6BAF8C3E"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29.促进消费和投资、供给和需求良性互动的政策协同研究</w:t>
      </w:r>
    </w:p>
    <w:p w14:paraId="5BF00502"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30.完善促进消费制度机制研究</w:t>
      </w:r>
    </w:p>
    <w:p w14:paraId="0019EE35"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31.规范地方政府经济促进行为的基本内涵与政策体系研究</w:t>
      </w:r>
    </w:p>
    <w:p w14:paraId="4B3DBEB0"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32.完善有利于全国统一大市场建设的统计、财税、考核制度体系研究</w:t>
      </w:r>
    </w:p>
    <w:p w14:paraId="34CBD089"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lastRenderedPageBreak/>
        <w:t>33.充分激发各类经营主体活力的制度建设与实施路径研究</w:t>
      </w:r>
    </w:p>
    <w:p w14:paraId="06E4C37C"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34.增强国有企业核心功能、提升核心竞争力的政策设计与实现路径研究</w:t>
      </w:r>
    </w:p>
    <w:p w14:paraId="6734CD28"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35.推动大中小企业协同融通发展的政策创新与机制保障研究</w:t>
      </w:r>
    </w:p>
    <w:p w14:paraId="3718D56C"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36.全国行政事业单位存量国有资产盘活共享机制研究</w:t>
      </w:r>
    </w:p>
    <w:p w14:paraId="448A4568"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37.促进形成内需主导、消费拉动、内</w:t>
      </w:r>
      <w:proofErr w:type="gramStart"/>
      <w:r w:rsidRPr="00BA587E">
        <w:rPr>
          <w:rFonts w:ascii="仿宋" w:eastAsia="仿宋" w:hAnsi="仿宋"/>
          <w:sz w:val="28"/>
          <w:szCs w:val="28"/>
        </w:rPr>
        <w:t>生增长</w:t>
      </w:r>
      <w:proofErr w:type="gramEnd"/>
      <w:r w:rsidRPr="00BA587E">
        <w:rPr>
          <w:rFonts w:ascii="仿宋" w:eastAsia="仿宋" w:hAnsi="仿宋"/>
          <w:sz w:val="28"/>
          <w:szCs w:val="28"/>
        </w:rPr>
        <w:t>的经济发展模式研究</w:t>
      </w:r>
    </w:p>
    <w:p w14:paraId="0B3AFF0B"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38.完善政策取向一致性和有效性的宏观经济治理体系研究</w:t>
      </w:r>
    </w:p>
    <w:p w14:paraId="329BEE8F"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39.健全经营所得、资本所得、财产所得税收政策研究</w:t>
      </w:r>
    </w:p>
    <w:p w14:paraId="7938CC77"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40.构建同高质量发展相适应的政府债务管理长效机制研究</w:t>
      </w:r>
    </w:p>
    <w:p w14:paraId="5ADDAD27"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41.健全投资和融资相协调资本市场功能的理论与政策研究</w:t>
      </w:r>
    </w:p>
    <w:p w14:paraId="4EA453E2"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42.</w:t>
      </w:r>
      <w:proofErr w:type="gramStart"/>
      <w:r w:rsidRPr="00BA587E">
        <w:rPr>
          <w:rFonts w:ascii="仿宋" w:eastAsia="仿宋" w:hAnsi="仿宋"/>
          <w:sz w:val="28"/>
          <w:szCs w:val="28"/>
        </w:rPr>
        <w:t>强化央地金融</w:t>
      </w:r>
      <w:proofErr w:type="gramEnd"/>
      <w:r w:rsidRPr="00BA587E">
        <w:rPr>
          <w:rFonts w:ascii="仿宋" w:eastAsia="仿宋" w:hAnsi="仿宋"/>
          <w:sz w:val="28"/>
          <w:szCs w:val="28"/>
        </w:rPr>
        <w:t>监管协同机制研究</w:t>
      </w:r>
    </w:p>
    <w:p w14:paraId="6A8813BA"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43.扩大高水平对外开放的理论内涵与实践创新研究</w:t>
      </w:r>
    </w:p>
    <w:p w14:paraId="4D3002D3"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44.建设自主可控的人民币跨境支付体系研究</w:t>
      </w:r>
    </w:p>
    <w:p w14:paraId="1D71125A"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45.推进全球经济金融治理改革的重大战略问题研究</w:t>
      </w:r>
    </w:p>
    <w:p w14:paraId="605A1287"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46.创新发展数字贸易与有序扩大数字领域开放研究</w:t>
      </w:r>
    </w:p>
    <w:p w14:paraId="77EFDEF0"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47.数据高效便利安全跨境流动的制度创新与风险管控研究</w:t>
      </w:r>
    </w:p>
    <w:p w14:paraId="219A7BCE"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48.高水平对外开放中海外利益的风险识别与应对策略研究</w:t>
      </w:r>
    </w:p>
    <w:p w14:paraId="2997DEDC"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49.把农业建成现代化大产业的战略布局与实施路径研究</w:t>
      </w:r>
    </w:p>
    <w:p w14:paraId="2F51B886"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50.促进小农户和现代农业发展有机衔接的实现机制与政策保障研究</w:t>
      </w:r>
    </w:p>
    <w:p w14:paraId="1C27DC9B"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lastRenderedPageBreak/>
        <w:t>51.推进宜</w:t>
      </w:r>
      <w:proofErr w:type="gramStart"/>
      <w:r w:rsidRPr="00BA587E">
        <w:rPr>
          <w:rFonts w:ascii="仿宋" w:eastAsia="仿宋" w:hAnsi="仿宋"/>
          <w:sz w:val="28"/>
          <w:szCs w:val="28"/>
        </w:rPr>
        <w:t>居宜业</w:t>
      </w:r>
      <w:proofErr w:type="gramEnd"/>
      <w:r w:rsidRPr="00BA587E">
        <w:rPr>
          <w:rFonts w:ascii="仿宋" w:eastAsia="仿宋" w:hAnsi="仿宋"/>
          <w:sz w:val="28"/>
          <w:szCs w:val="28"/>
        </w:rPr>
        <w:t>和美乡村建设的实践经验与理论创新研究</w:t>
      </w:r>
    </w:p>
    <w:p w14:paraId="79DB7D27"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52.分类有序、片区化推进乡村振兴的科学内涵与政策体系研究</w:t>
      </w:r>
    </w:p>
    <w:p w14:paraId="380C31FC"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53.推进县域国土空间治理、创造乡村优质生活空间政策研究</w:t>
      </w:r>
    </w:p>
    <w:p w14:paraId="0F27B9AD"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54.统筹建立常态</w:t>
      </w:r>
      <w:proofErr w:type="gramStart"/>
      <w:r w:rsidRPr="00BA587E">
        <w:rPr>
          <w:rFonts w:ascii="仿宋" w:eastAsia="仿宋" w:hAnsi="仿宋"/>
          <w:sz w:val="28"/>
          <w:szCs w:val="28"/>
        </w:rPr>
        <w:t>化防止</w:t>
      </w:r>
      <w:proofErr w:type="gramEnd"/>
      <w:r w:rsidRPr="00BA587E">
        <w:rPr>
          <w:rFonts w:ascii="仿宋" w:eastAsia="仿宋" w:hAnsi="仿宋"/>
          <w:sz w:val="28"/>
          <w:szCs w:val="28"/>
        </w:rPr>
        <w:t>返贫致贫机制研究</w:t>
      </w:r>
    </w:p>
    <w:p w14:paraId="766CCE63"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55.促进革命老区、民族地区、边疆地区等振兴发展的差异化政策研究</w:t>
      </w:r>
    </w:p>
    <w:p w14:paraId="178ED544"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56.促进区域联动发展的基本内涵、实现路径与政策体系研究</w:t>
      </w:r>
    </w:p>
    <w:p w14:paraId="3504AE7F"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57.流域经济与促进区域联动发展研究</w:t>
      </w:r>
    </w:p>
    <w:p w14:paraId="17B74A59"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58.强化主体功能区战略实施的制度体系与空间治理研究</w:t>
      </w:r>
    </w:p>
    <w:p w14:paraId="7B6D68BC"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59.超大特大城市治理现代化实践研究</w:t>
      </w:r>
    </w:p>
    <w:p w14:paraId="596BC55A"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60.实施城市更新与建设现代化人民城市的实践创新研究</w:t>
      </w:r>
    </w:p>
    <w:p w14:paraId="215F3816"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61.维护海洋权益和安全的战略体系与制度建设研究</w:t>
      </w:r>
    </w:p>
    <w:p w14:paraId="18B53ED4"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62.新时代中国特色社会主义文化的基本内涵、发展方向与创新实践研究</w:t>
      </w:r>
    </w:p>
    <w:p w14:paraId="0C028FC0"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63.以体制机制创新激发全民族文化创新创造活力研究</w:t>
      </w:r>
    </w:p>
    <w:p w14:paraId="23500324"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64.持续提高国家</w:t>
      </w:r>
      <w:proofErr w:type="gramStart"/>
      <w:r w:rsidRPr="00BA587E">
        <w:rPr>
          <w:rFonts w:ascii="仿宋" w:eastAsia="仿宋" w:hAnsi="仿宋"/>
          <w:sz w:val="28"/>
          <w:szCs w:val="28"/>
        </w:rPr>
        <w:t>软实力</w:t>
      </w:r>
      <w:proofErr w:type="gramEnd"/>
      <w:r w:rsidRPr="00BA587E">
        <w:rPr>
          <w:rFonts w:ascii="仿宋" w:eastAsia="仿宋" w:hAnsi="仿宋"/>
          <w:sz w:val="28"/>
          <w:szCs w:val="28"/>
        </w:rPr>
        <w:t>的国际比较、总体思路和政策建议研究</w:t>
      </w:r>
    </w:p>
    <w:p w14:paraId="2CFD01D7"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65.文化养心志育情操的作用机理与政策支持研究</w:t>
      </w:r>
    </w:p>
    <w:p w14:paraId="050EDBE3"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66.校园文化建设的育人功能与社会影响研究</w:t>
      </w:r>
    </w:p>
    <w:p w14:paraId="3CEF0847"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67.统筹推进城乡精神文明建设的支撑体系研究</w:t>
      </w:r>
    </w:p>
    <w:p w14:paraId="3443027E"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lastRenderedPageBreak/>
        <w:t>68.网络文明建设的理论建构与制度设计研究</w:t>
      </w:r>
    </w:p>
    <w:p w14:paraId="2AF6D489"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69.网络生态治理的理论逻辑与实践路径研究</w:t>
      </w:r>
    </w:p>
    <w:p w14:paraId="0B34B7C8"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70.加强网络内容建设和管理的政策体系研究</w:t>
      </w:r>
    </w:p>
    <w:p w14:paraId="0F5F979D"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71.提升信息化条件下文化领域治理能力研究</w:t>
      </w:r>
    </w:p>
    <w:p w14:paraId="263756B6"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72.互联网条件下新大众文艺的创作机制与传播体系研究</w:t>
      </w:r>
    </w:p>
    <w:p w14:paraId="7271FBA2"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73.新闻宣传和网络舆论一体化管理体系创新研究</w:t>
      </w:r>
    </w:p>
    <w:p w14:paraId="42AF59C6"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74.文化遗产系统性保护和统一监管督察的制度体系与执行机制研究</w:t>
      </w:r>
    </w:p>
    <w:p w14:paraId="7F04BD06"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75.提升公共文化服务质量和效益的评价体系研究</w:t>
      </w:r>
    </w:p>
    <w:p w14:paraId="393D7A6D"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76.积极的文化经济政策的理论内涵与实施路径研究</w:t>
      </w:r>
    </w:p>
    <w:p w14:paraId="22310C92"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77.文化</w:t>
      </w:r>
      <w:proofErr w:type="gramStart"/>
      <w:r w:rsidRPr="00BA587E">
        <w:rPr>
          <w:rFonts w:ascii="仿宋" w:eastAsia="仿宋" w:hAnsi="仿宋"/>
          <w:sz w:val="28"/>
          <w:szCs w:val="28"/>
        </w:rPr>
        <w:t>建设数智化</w:t>
      </w:r>
      <w:proofErr w:type="gramEnd"/>
      <w:r w:rsidRPr="00BA587E">
        <w:rPr>
          <w:rFonts w:ascii="仿宋" w:eastAsia="仿宋" w:hAnsi="仿宋"/>
          <w:sz w:val="28"/>
          <w:szCs w:val="28"/>
        </w:rPr>
        <w:t>赋能、信息化转型的新趋势与促进策略研究</w:t>
      </w:r>
    </w:p>
    <w:p w14:paraId="1E81E189"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78.加强未成年人网络保护的制度体系与法律保障研究</w:t>
      </w:r>
    </w:p>
    <w:p w14:paraId="1EF52D0A"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79.</w:t>
      </w:r>
      <w:proofErr w:type="gramStart"/>
      <w:r w:rsidRPr="00BA587E">
        <w:rPr>
          <w:rFonts w:ascii="仿宋" w:eastAsia="仿宋" w:hAnsi="仿宋"/>
          <w:sz w:val="28"/>
          <w:szCs w:val="28"/>
        </w:rPr>
        <w:t>文旅深度</w:t>
      </w:r>
      <w:proofErr w:type="gramEnd"/>
      <w:r w:rsidRPr="00BA587E">
        <w:rPr>
          <w:rFonts w:ascii="仿宋" w:eastAsia="仿宋" w:hAnsi="仿宋"/>
          <w:sz w:val="28"/>
          <w:szCs w:val="28"/>
        </w:rPr>
        <w:t>融合赋能文化传承与经济社会发展的协同机制研究</w:t>
      </w:r>
    </w:p>
    <w:p w14:paraId="6F8D53F1"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80.文化赋能经济社会发展的总体思路、实施路径和政策体系研究</w:t>
      </w:r>
    </w:p>
    <w:p w14:paraId="2027AAE1"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81.完善国际传播体制机制与创新传播载体和方式研究</w:t>
      </w:r>
    </w:p>
    <w:p w14:paraId="3E99B036"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82.主流媒体增强国际传播能力与提升传播效能研究</w:t>
      </w:r>
    </w:p>
    <w:p w14:paraId="794C4BFE"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83.创新对外传播话语体系全面提升国际话语权的实践路径研究</w:t>
      </w:r>
    </w:p>
    <w:p w14:paraId="17F29A3E"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84.文化企业和优秀文化产品走向世界的实现路径与政策支持研究</w:t>
      </w:r>
    </w:p>
    <w:p w14:paraId="074C6642"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85.畅通社会流动渠道的实现机制研究</w:t>
      </w:r>
    </w:p>
    <w:p w14:paraId="0A435697"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86.构建就业友好型发展方式的政策体系与社会保障研究</w:t>
      </w:r>
    </w:p>
    <w:p w14:paraId="25C08D2C"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lastRenderedPageBreak/>
        <w:t>87.新技术发展对就业的影响分析及政策研究</w:t>
      </w:r>
    </w:p>
    <w:p w14:paraId="509E111A"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88.多渠道增加城乡居民财产性收入的制度设计与政策优化研究</w:t>
      </w:r>
    </w:p>
    <w:p w14:paraId="1D5FD977"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89.健全与人口变化相适应的教育资源配置机制研究</w:t>
      </w:r>
    </w:p>
    <w:p w14:paraId="3AA8DA9D"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90.推动高等教育提质扩容面临的挑战与对策研究</w:t>
      </w:r>
    </w:p>
    <w:p w14:paraId="38A6957B"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91.健全学校家庭社会协同育人机制的理论与实践研究</w:t>
      </w:r>
    </w:p>
    <w:p w14:paraId="3B1415B3"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92.加快发展多层次多支柱养老保险体系的重点难点问题研究</w:t>
      </w:r>
    </w:p>
    <w:p w14:paraId="3AFDEAFF"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93.推进全民</w:t>
      </w:r>
      <w:proofErr w:type="gramStart"/>
      <w:r w:rsidRPr="00BA587E">
        <w:rPr>
          <w:rFonts w:ascii="仿宋" w:eastAsia="仿宋" w:hAnsi="仿宋"/>
          <w:sz w:val="28"/>
          <w:szCs w:val="28"/>
        </w:rPr>
        <w:t>健康数智化</w:t>
      </w:r>
      <w:proofErr w:type="gramEnd"/>
      <w:r w:rsidRPr="00BA587E">
        <w:rPr>
          <w:rFonts w:ascii="仿宋" w:eastAsia="仿宋" w:hAnsi="仿宋"/>
          <w:sz w:val="28"/>
          <w:szCs w:val="28"/>
        </w:rPr>
        <w:t>建设的政策保障研究</w:t>
      </w:r>
    </w:p>
    <w:p w14:paraId="6E08258B"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94.构建覆盖全人群、全生命周期的人口服务体系研究</w:t>
      </w:r>
    </w:p>
    <w:p w14:paraId="7A78259F"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95.健全养老事业和产业协同发展政策机制研究</w:t>
      </w:r>
    </w:p>
    <w:p w14:paraId="650EEEF6"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96.基本公共服务均等</w:t>
      </w:r>
      <w:proofErr w:type="gramStart"/>
      <w:r w:rsidRPr="00BA587E">
        <w:rPr>
          <w:rFonts w:ascii="仿宋" w:eastAsia="仿宋" w:hAnsi="仿宋"/>
          <w:sz w:val="28"/>
          <w:szCs w:val="28"/>
        </w:rPr>
        <w:t>化评价</w:t>
      </w:r>
      <w:proofErr w:type="gramEnd"/>
      <w:r w:rsidRPr="00BA587E">
        <w:rPr>
          <w:rFonts w:ascii="仿宋" w:eastAsia="仿宋" w:hAnsi="仿宋"/>
          <w:sz w:val="28"/>
          <w:szCs w:val="28"/>
        </w:rPr>
        <w:t>标准研究</w:t>
      </w:r>
    </w:p>
    <w:p w14:paraId="513DF393"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97.源头治理与多污染物控制协同的实现路径研究</w:t>
      </w:r>
    </w:p>
    <w:p w14:paraId="79EA44E5"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98.完善多元化生态补偿机制研究</w:t>
      </w:r>
    </w:p>
    <w:p w14:paraId="6A6A45F4"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99.健全适应新型能源体系的市场和价格机制研究</w:t>
      </w:r>
    </w:p>
    <w:p w14:paraId="52A267A7"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100.绿色低碳标准体系的国际规则完善与衔接互认模式研究</w:t>
      </w:r>
    </w:p>
    <w:p w14:paraId="37BEEB41"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101.提升应对气候变化特别是极端天气能力的政策研究</w:t>
      </w:r>
    </w:p>
    <w:p w14:paraId="56FAD627"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102.构建海外安全保障体系研究</w:t>
      </w:r>
    </w:p>
    <w:p w14:paraId="5D33A2E3"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103.反制裁、反干预、反“长臂管辖”斗争策略研究</w:t>
      </w:r>
    </w:p>
    <w:p w14:paraId="1CAFBD8F"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104.加强新兴领域国家安全能力建设研究</w:t>
      </w:r>
    </w:p>
    <w:p w14:paraId="50F8B1BB"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105.提升重要基础设施本质安全水平的政策研究</w:t>
      </w:r>
    </w:p>
    <w:p w14:paraId="49915CA2"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lastRenderedPageBreak/>
        <w:t>106.深化社会治安整体防控体系和能力建设研究</w:t>
      </w:r>
    </w:p>
    <w:p w14:paraId="3209B8A1"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107.网络空间安全综合治理的制度体系与能力建设研究</w:t>
      </w:r>
    </w:p>
    <w:p w14:paraId="3248FBC2"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108.未成年人违法犯罪预防和治理机制研究</w:t>
      </w:r>
    </w:p>
    <w:p w14:paraId="539BC83C"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109.社会治理的新形势新挑战与完善治理体系研究</w:t>
      </w:r>
    </w:p>
    <w:p w14:paraId="126905B2"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110.完善共建共治共享社会治理制度研究</w:t>
      </w:r>
    </w:p>
    <w:p w14:paraId="0C0D5DFE"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111.党建引领基层治理和基层政权建设的理论与实践研究</w:t>
      </w:r>
    </w:p>
    <w:p w14:paraId="3A85CC83"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112.健全社会心理服务体系和危机干预机制研究</w:t>
      </w:r>
    </w:p>
    <w:p w14:paraId="35D83404"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113.深化全民国防教育创新实践研究</w:t>
      </w:r>
    </w:p>
    <w:p w14:paraId="1BFB8EE8"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114.加强宗教事务治理法治化研究</w:t>
      </w:r>
    </w:p>
    <w:p w14:paraId="2D80EE13"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115.宪法法律实施和监督体制机制研究</w:t>
      </w:r>
    </w:p>
    <w:p w14:paraId="3F931A32"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116.完善维护国家法治统一制度机制的理论与实践研究</w:t>
      </w:r>
    </w:p>
    <w:p w14:paraId="62744B8D"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117.完善实质性化解行政争议机制研究</w:t>
      </w:r>
    </w:p>
    <w:p w14:paraId="1F180C55"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118.完善司法</w:t>
      </w:r>
      <w:proofErr w:type="gramStart"/>
      <w:r w:rsidRPr="00BA587E">
        <w:rPr>
          <w:rFonts w:ascii="仿宋" w:eastAsia="仿宋" w:hAnsi="仿宋"/>
          <w:sz w:val="28"/>
          <w:szCs w:val="28"/>
        </w:rPr>
        <w:t>公正实现</w:t>
      </w:r>
      <w:proofErr w:type="gramEnd"/>
      <w:r w:rsidRPr="00BA587E">
        <w:rPr>
          <w:rFonts w:ascii="仿宋" w:eastAsia="仿宋" w:hAnsi="仿宋"/>
          <w:sz w:val="28"/>
          <w:szCs w:val="28"/>
        </w:rPr>
        <w:t>和评价机制研究</w:t>
      </w:r>
    </w:p>
    <w:p w14:paraId="5ABAF973"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119.加强公益诉讼的法制保障研究</w:t>
      </w:r>
    </w:p>
    <w:p w14:paraId="7D98759D"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120.加快涉外法治体系和能力建设研究</w:t>
      </w:r>
    </w:p>
    <w:p w14:paraId="58DEA4E4"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121.完善便利港澳居民在内地发展和生活的政策措施研究</w:t>
      </w:r>
    </w:p>
    <w:p w14:paraId="778A8BBB"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122.深化两岸交流合作共同传承弘扬中华文化的政策举措研究</w:t>
      </w:r>
    </w:p>
    <w:p w14:paraId="66F8FBD8" w14:textId="77777777" w:rsidR="00BA587E" w:rsidRDefault="00BA587E" w:rsidP="007C4A2F">
      <w:pPr>
        <w:adjustRightInd w:val="0"/>
        <w:snapToGrid w:val="0"/>
        <w:spacing w:line="480" w:lineRule="auto"/>
        <w:rPr>
          <w:rFonts w:ascii="仿宋" w:eastAsia="仿宋" w:hAnsi="仿宋"/>
          <w:sz w:val="28"/>
          <w:szCs w:val="28"/>
        </w:rPr>
      </w:pPr>
      <w:r w:rsidRPr="00BA587E">
        <w:rPr>
          <w:rFonts w:ascii="仿宋" w:eastAsia="仿宋" w:hAnsi="仿宋"/>
          <w:sz w:val="28"/>
          <w:szCs w:val="28"/>
        </w:rPr>
        <w:t>123.构建周边命运共同体的理论内涵与实现路径研究</w:t>
      </w:r>
    </w:p>
    <w:p w14:paraId="47F523C7" w14:textId="191F75DA" w:rsidR="00285343" w:rsidRPr="00285343" w:rsidRDefault="00BA587E" w:rsidP="007C4A2F">
      <w:pPr>
        <w:adjustRightInd w:val="0"/>
        <w:snapToGrid w:val="0"/>
        <w:spacing w:line="480" w:lineRule="auto"/>
        <w:rPr>
          <w:rFonts w:ascii="仿宋" w:eastAsia="仿宋" w:hAnsi="仿宋" w:hint="eastAsia"/>
          <w:sz w:val="28"/>
          <w:szCs w:val="28"/>
        </w:rPr>
      </w:pPr>
      <w:r w:rsidRPr="00BA587E">
        <w:rPr>
          <w:rFonts w:ascii="仿宋" w:eastAsia="仿宋" w:hAnsi="仿宋"/>
          <w:sz w:val="28"/>
          <w:szCs w:val="28"/>
        </w:rPr>
        <w:t>124.全球南方联合自强的理念创新与合作机制研究</w:t>
      </w:r>
    </w:p>
    <w:sectPr w:rsidR="00285343" w:rsidRPr="0028534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C575C" w14:textId="77777777" w:rsidR="00696F7B" w:rsidRDefault="00696F7B" w:rsidP="00285343">
      <w:r>
        <w:separator/>
      </w:r>
    </w:p>
  </w:endnote>
  <w:endnote w:type="continuationSeparator" w:id="0">
    <w:p w14:paraId="17D35388" w14:textId="77777777" w:rsidR="00696F7B" w:rsidRDefault="00696F7B" w:rsidP="00285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88DF3" w14:textId="77777777" w:rsidR="00696F7B" w:rsidRDefault="00696F7B" w:rsidP="00285343">
      <w:r>
        <w:separator/>
      </w:r>
    </w:p>
  </w:footnote>
  <w:footnote w:type="continuationSeparator" w:id="0">
    <w:p w14:paraId="08258EEE" w14:textId="77777777" w:rsidR="00696F7B" w:rsidRDefault="00696F7B" w:rsidP="002853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52F0"/>
    <w:rsid w:val="00285343"/>
    <w:rsid w:val="004752F0"/>
    <w:rsid w:val="00696F7B"/>
    <w:rsid w:val="007C4A2F"/>
    <w:rsid w:val="00BA58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4EA199"/>
  <w15:chartTrackingRefBased/>
  <w15:docId w15:val="{C460B94A-7094-4C46-8BAD-BEF218CCB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8534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85343"/>
    <w:rPr>
      <w:sz w:val="18"/>
      <w:szCs w:val="18"/>
    </w:rPr>
  </w:style>
  <w:style w:type="paragraph" w:styleId="a5">
    <w:name w:val="footer"/>
    <w:basedOn w:val="a"/>
    <w:link w:val="a6"/>
    <w:uiPriority w:val="99"/>
    <w:unhideWhenUsed/>
    <w:rsid w:val="00285343"/>
    <w:pPr>
      <w:tabs>
        <w:tab w:val="center" w:pos="4153"/>
        <w:tab w:val="right" w:pos="8306"/>
      </w:tabs>
      <w:snapToGrid w:val="0"/>
      <w:jc w:val="left"/>
    </w:pPr>
    <w:rPr>
      <w:sz w:val="18"/>
      <w:szCs w:val="18"/>
    </w:rPr>
  </w:style>
  <w:style w:type="character" w:customStyle="1" w:styleId="a6">
    <w:name w:val="页脚 字符"/>
    <w:basedOn w:val="a0"/>
    <w:link w:val="a5"/>
    <w:uiPriority w:val="99"/>
    <w:rsid w:val="0028534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478</Words>
  <Characters>2727</Characters>
  <Application>Microsoft Office Word</Application>
  <DocSecurity>0</DocSecurity>
  <Lines>22</Lines>
  <Paragraphs>6</Paragraphs>
  <ScaleCrop>false</ScaleCrop>
  <Company/>
  <LinksUpToDate>false</LinksUpToDate>
  <CharactersWithSpaces>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科研处</dc:creator>
  <cp:keywords/>
  <dc:description/>
  <cp:lastModifiedBy>科研处</cp:lastModifiedBy>
  <cp:revision>4</cp:revision>
  <dcterms:created xsi:type="dcterms:W3CDTF">2025-12-27T02:16:00Z</dcterms:created>
  <dcterms:modified xsi:type="dcterms:W3CDTF">2025-12-27T02:18:00Z</dcterms:modified>
</cp:coreProperties>
</file>