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314B3" w14:textId="77777777" w:rsidR="00385380" w:rsidRDefault="004E0955">
      <w:pPr>
        <w:spacing w:line="600" w:lineRule="exact"/>
        <w:ind w:firstLineChars="200" w:firstLine="720"/>
        <w:jc w:val="center"/>
        <w:rPr>
          <w:rFonts w:ascii="华文中宋" w:eastAsia="华文中宋" w:hAnsi="华文中宋" w:cs="华文中宋"/>
          <w:sz w:val="36"/>
          <w:szCs w:val="36"/>
        </w:rPr>
      </w:pPr>
      <w:r>
        <w:rPr>
          <w:rFonts w:ascii="华文中宋" w:eastAsia="华文中宋" w:hAnsi="华文中宋" w:cs="华文中宋" w:hint="eastAsia"/>
          <w:sz w:val="36"/>
          <w:szCs w:val="36"/>
        </w:rPr>
        <w:t>2025年度全国教育科学规划中国教育法治与全球教育治理研究专项指南</w:t>
      </w:r>
    </w:p>
    <w:p w14:paraId="419DF450" w14:textId="77777777" w:rsidR="00385380" w:rsidRDefault="00385380">
      <w:pPr>
        <w:spacing w:line="560" w:lineRule="exact"/>
        <w:jc w:val="center"/>
        <w:rPr>
          <w:rFonts w:ascii="Times New Roman" w:eastAsia="方正小标宋简体" w:hAnsi="Times New Roman" w:cs="方正小标宋简体"/>
          <w:sz w:val="44"/>
          <w:szCs w:val="44"/>
        </w:rPr>
      </w:pPr>
    </w:p>
    <w:p w14:paraId="63B2805F" w14:textId="77777777" w:rsidR="00385380" w:rsidRDefault="004E0955">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中国教育法治与全球教育治理研究专项包括重点、一般和培育项目。申报重点项目、一般项目必须从相应条目中选择，并</w:t>
      </w:r>
      <w:r>
        <w:rPr>
          <w:rFonts w:ascii="Times New Roman" w:eastAsia="仿宋_GB2312" w:hAnsi="Times New Roman" w:cs="Times New Roman"/>
          <w:sz w:val="32"/>
          <w:szCs w:val="32"/>
          <w:lang w:eastAsia="zh"/>
        </w:rPr>
        <w:t>按照指南意图</w:t>
      </w:r>
      <w:r>
        <w:rPr>
          <w:rFonts w:ascii="Times New Roman" w:eastAsia="仿宋_GB2312" w:hAnsi="Times New Roman" w:cs="Times New Roman" w:hint="eastAsia"/>
          <w:sz w:val="32"/>
          <w:szCs w:val="32"/>
        </w:rPr>
        <w:t>进行研究设计</w:t>
      </w:r>
      <w:r>
        <w:rPr>
          <w:rFonts w:ascii="Times New Roman" w:eastAsia="仿宋_GB2312" w:hAnsi="Times New Roman" w:cs="Times New Roman"/>
          <w:sz w:val="32"/>
          <w:szCs w:val="32"/>
          <w:lang w:eastAsia="zh"/>
        </w:rPr>
        <w:t>。</w:t>
      </w:r>
      <w:r>
        <w:rPr>
          <w:rFonts w:ascii="Times New Roman" w:eastAsia="仿宋_GB2312" w:hAnsi="Times New Roman" w:cs="Times New Roman" w:hint="eastAsia"/>
          <w:sz w:val="32"/>
          <w:szCs w:val="32"/>
        </w:rPr>
        <w:t>自拟选题不予受理。培育项目如确有需要，可对选题进行适当微调，但不得大幅压缩或改变研究内容。</w:t>
      </w:r>
      <w:r>
        <w:rPr>
          <w:rFonts w:ascii="仿宋_GB2312" w:eastAsia="仿宋_GB2312" w:hAnsi="Times New Roman" w:cs="Times New Roman" w:hint="eastAsia"/>
          <w:sz w:val="32"/>
          <w:szCs w:val="32"/>
        </w:rPr>
        <w:t>研究期限为2-3年，不得延期。</w:t>
      </w:r>
      <w:r>
        <w:rPr>
          <w:rFonts w:ascii="Times New Roman" w:eastAsia="仿宋_GB2312" w:hAnsi="Times New Roman" w:cs="Times New Roman" w:hint="eastAsia"/>
          <w:sz w:val="32"/>
          <w:szCs w:val="32"/>
        </w:rPr>
        <w:t>每个选题原则上只确立</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个立项项目。</w:t>
      </w:r>
    </w:p>
    <w:p w14:paraId="51F39826" w14:textId="77777777" w:rsidR="00385380" w:rsidRDefault="00385380">
      <w:pPr>
        <w:spacing w:beforeLines="50" w:before="156" w:afterLines="50" w:after="156"/>
        <w:ind w:firstLine="641"/>
        <w:rPr>
          <w:rFonts w:ascii="Times New Roman" w:eastAsia="楷体_GB2312" w:hAnsi="Times New Roman" w:cs="Times New Roman"/>
          <w:b/>
          <w:bCs/>
          <w:sz w:val="32"/>
          <w:szCs w:val="32"/>
        </w:rPr>
      </w:pPr>
    </w:p>
    <w:p w14:paraId="0920C944" w14:textId="77777777" w:rsidR="00385380" w:rsidRDefault="004E0955">
      <w:pPr>
        <w:spacing w:beforeLines="50" w:before="156" w:afterLines="50" w:after="156"/>
        <w:ind w:firstLine="64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 xml:space="preserve">1. </w:t>
      </w:r>
      <w:r>
        <w:rPr>
          <w:rFonts w:ascii="Times New Roman" w:eastAsia="楷体_GB2312" w:hAnsi="Times New Roman" w:cs="Times New Roman" w:hint="eastAsia"/>
          <w:b/>
          <w:bCs/>
          <w:sz w:val="32"/>
          <w:szCs w:val="32"/>
        </w:rPr>
        <w:t>构建中国教育法学自主知识体系研究（重点）</w:t>
      </w:r>
    </w:p>
    <w:p w14:paraId="49D5F8EA" w14:textId="77777777" w:rsidR="00385380" w:rsidRDefault="004E0955">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指南意图</w:t>
      </w:r>
      <w:r>
        <w:rPr>
          <w:rFonts w:ascii="仿宋_GB2312" w:eastAsia="仿宋_GB2312" w:hAnsi="仿宋_GB2312" w:cs="仿宋_GB2312" w:hint="eastAsia"/>
          <w:sz w:val="32"/>
          <w:szCs w:val="32"/>
        </w:rPr>
        <w:t>：（1）梳理习近平总书记关于教育的重要论述并进行法理阐释和法律表达；（2）研究中国教育法学知识体系的价值取向、核心范畴、基本原则、理论特色；（3）探索中国教育法学自主知识体系构建的方法和路径；（4）形成中国教育法学基本框架与核心内容。</w:t>
      </w:r>
    </w:p>
    <w:p w14:paraId="30BB003A" w14:textId="77777777" w:rsidR="00385380" w:rsidRDefault="004E0955">
      <w:pPr>
        <w:spacing w:beforeLines="50" w:before="156" w:afterLines="50" w:after="156"/>
        <w:ind w:firstLine="64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 xml:space="preserve">2. </w:t>
      </w:r>
      <w:r>
        <w:rPr>
          <w:rFonts w:ascii="Times New Roman" w:eastAsia="楷体_GB2312" w:hAnsi="Times New Roman" w:cs="Times New Roman" w:hint="eastAsia"/>
          <w:b/>
          <w:bCs/>
          <w:sz w:val="32"/>
          <w:szCs w:val="32"/>
        </w:rPr>
        <w:t>国（境）外学位质量评价及认证制度研究（重点）</w:t>
      </w:r>
    </w:p>
    <w:p w14:paraId="11047509" w14:textId="77777777" w:rsidR="00385380" w:rsidRDefault="004E0955">
      <w:pPr>
        <w:widowControl/>
        <w:numPr>
          <w:ilvl w:val="255"/>
          <w:numId w:val="0"/>
        </w:numPr>
        <w:spacing w:line="560" w:lineRule="exact"/>
        <w:ind w:firstLineChars="200" w:firstLine="643"/>
        <w:rPr>
          <w:rFonts w:ascii="Times New Roman" w:eastAsia="楷体_GB2312" w:hAnsi="Times New Roman" w:cs="Times New Roman"/>
          <w:b/>
          <w:bCs/>
          <w:sz w:val="32"/>
          <w:szCs w:val="32"/>
        </w:rPr>
      </w:pPr>
      <w:r>
        <w:rPr>
          <w:rFonts w:ascii="楷体_GB2312" w:eastAsia="楷体_GB2312" w:hAnsi="楷体_GB2312" w:cs="楷体_GB2312" w:hint="eastAsia"/>
          <w:b/>
          <w:bCs/>
          <w:sz w:val="32"/>
          <w:szCs w:val="32"/>
        </w:rPr>
        <w:t>指南意图：</w:t>
      </w:r>
      <w:r>
        <w:rPr>
          <w:rFonts w:ascii="仿宋_GB2312" w:eastAsia="仿宋_GB2312" w:hAnsi="楷体" w:cs="Times New Roman" w:hint="eastAsia"/>
          <w:sz w:val="32"/>
          <w:szCs w:val="32"/>
        </w:rPr>
        <w:t>（1）调研国（境）外主要国家、地区高等教育机构资质评估、课程与教学质量评估以及学生学习成果评估体系的历史沿革与现状；（2）研究国（境）外文凭证书与同等学历学</w:t>
      </w:r>
      <w:r>
        <w:rPr>
          <w:rFonts w:ascii="仿宋_GB2312" w:eastAsia="仿宋_GB2312" w:hAnsi="楷体" w:cs="Times New Roman" w:hint="eastAsia"/>
          <w:sz w:val="32"/>
          <w:szCs w:val="32"/>
        </w:rPr>
        <w:lastRenderedPageBreak/>
        <w:t>位对应规则、跨境在线教育的质量保证与文凭证书互认机制；（3）构建国（境）外学位质量评价体系，拓宽现行认证办法的外延和内涵；（4）完善我国学位认证制度和认证标准及与质量相关的评估考察标准和程序。</w:t>
      </w:r>
    </w:p>
    <w:p w14:paraId="730A8414" w14:textId="77777777" w:rsidR="00385380" w:rsidRDefault="004E0955">
      <w:pPr>
        <w:spacing w:beforeLines="50" w:before="156" w:afterLines="50" w:after="156"/>
        <w:ind w:firstLine="64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 xml:space="preserve">3. </w:t>
      </w:r>
      <w:r>
        <w:rPr>
          <w:rFonts w:ascii="Times New Roman" w:eastAsia="楷体_GB2312" w:hAnsi="Times New Roman" w:cs="Times New Roman" w:hint="eastAsia"/>
          <w:b/>
          <w:bCs/>
          <w:sz w:val="32"/>
          <w:szCs w:val="32"/>
        </w:rPr>
        <w:t>考试招生管理法治化研究（一般）</w:t>
      </w:r>
    </w:p>
    <w:p w14:paraId="7579DABD" w14:textId="77777777" w:rsidR="00385380" w:rsidRDefault="004E0955">
      <w:pPr>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指南意图：</w:t>
      </w:r>
      <w:r>
        <w:rPr>
          <w:rFonts w:ascii="仿宋_GB2312" w:eastAsia="仿宋_GB2312" w:hAnsi="仿宋_GB2312" w:cs="仿宋_GB2312" w:hint="eastAsia"/>
          <w:sz w:val="32"/>
          <w:szCs w:val="32"/>
        </w:rPr>
        <w:t>（1）梳理考试招生政策的历史沿革并检视其现状与问题；（2）域外考试招生制度研究与借鉴；（3）论证《教育招生考试管理办法》《国家教育考试违规处理办法》制定、修订的必要性、可行性与法治功能；（4）阐明考试招生立法的指导思想、基本原则、技术方法、体例结构和内容构造；（5）构建考试招生制度的法律规范体系框架。</w:t>
      </w:r>
    </w:p>
    <w:p w14:paraId="5EC97F04" w14:textId="77777777" w:rsidR="00385380" w:rsidRDefault="004E0955">
      <w:pPr>
        <w:spacing w:beforeLines="50" w:before="156" w:afterLines="50" w:after="156"/>
        <w:ind w:firstLine="64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 xml:space="preserve">4. </w:t>
      </w:r>
      <w:r>
        <w:rPr>
          <w:rFonts w:ascii="Times New Roman" w:eastAsia="楷体_GB2312" w:hAnsi="Times New Roman" w:cs="Times New Roman" w:hint="eastAsia"/>
          <w:b/>
          <w:bCs/>
          <w:sz w:val="32"/>
          <w:szCs w:val="32"/>
        </w:rPr>
        <w:t>中外合作办学法律制度和规范研究（一般）</w:t>
      </w:r>
    </w:p>
    <w:p w14:paraId="731AAE1E" w14:textId="77777777" w:rsidR="00385380" w:rsidRDefault="004E0955">
      <w:pPr>
        <w:spacing w:line="560" w:lineRule="exact"/>
        <w:ind w:firstLineChars="200" w:firstLine="643"/>
        <w:rPr>
          <w:rFonts w:ascii="Times New Roman" w:eastAsia="仿宋_GB2312" w:hAnsi="Times New Roman" w:cs="仿宋_GB2312"/>
          <w:sz w:val="32"/>
          <w:szCs w:val="32"/>
        </w:rPr>
      </w:pPr>
      <w:r>
        <w:rPr>
          <w:rFonts w:ascii="Times New Roman" w:eastAsia="仿宋_GB2312" w:hAnsi="Times New Roman" w:cs="仿宋_GB2312" w:hint="eastAsia"/>
          <w:b/>
          <w:bCs/>
          <w:sz w:val="32"/>
          <w:szCs w:val="32"/>
        </w:rPr>
        <w:t>指南意图：</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）梳理中外合作办学制度沿革；（</w:t>
      </w: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）开展中外合作办学相关制度国际比较研究；（</w:t>
      </w: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）调研相关国家支持国外高校赴本国开展合作办学的法律与政策要求；（</w:t>
      </w: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）提出优化中外合作办学结构与布局、吸引更多境外高水平大学来华合作办学的措施建议；（</w:t>
      </w:r>
      <w:r>
        <w:rPr>
          <w:rFonts w:ascii="Times New Roman" w:eastAsia="仿宋_GB2312" w:hAnsi="Times New Roman" w:cs="仿宋_GB2312" w:hint="eastAsia"/>
          <w:sz w:val="32"/>
          <w:szCs w:val="32"/>
        </w:rPr>
        <w:t>5</w:t>
      </w:r>
      <w:r>
        <w:rPr>
          <w:rFonts w:ascii="Times New Roman" w:eastAsia="仿宋_GB2312" w:hAnsi="Times New Roman" w:cs="仿宋_GB2312" w:hint="eastAsia"/>
          <w:sz w:val="32"/>
          <w:szCs w:val="32"/>
        </w:rPr>
        <w:t>）提出完善中外合作办学法规规章的意见建议。</w:t>
      </w:r>
    </w:p>
    <w:p w14:paraId="6196A3CA" w14:textId="77777777" w:rsidR="00385380" w:rsidRDefault="004E0955">
      <w:pPr>
        <w:spacing w:beforeLines="50" w:before="156" w:afterLines="50" w:after="156"/>
        <w:ind w:firstLine="64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 xml:space="preserve">5. </w:t>
      </w:r>
      <w:r>
        <w:rPr>
          <w:rFonts w:ascii="Times New Roman" w:eastAsia="楷体_GB2312" w:hAnsi="Times New Roman" w:cs="Times New Roman" w:hint="eastAsia"/>
          <w:b/>
          <w:bCs/>
          <w:sz w:val="32"/>
          <w:szCs w:val="32"/>
        </w:rPr>
        <w:t>教育法规范的体系化研究（一般）</w:t>
      </w:r>
    </w:p>
    <w:p w14:paraId="6B1675FD" w14:textId="77777777" w:rsidR="00385380" w:rsidRDefault="004E0955">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指南意图：</w:t>
      </w:r>
      <w:r>
        <w:rPr>
          <w:rFonts w:ascii="仿宋_GB2312" w:eastAsia="仿宋_GB2312" w:hAnsi="仿宋_GB2312" w:cs="仿宋_GB2312" w:hint="eastAsia"/>
          <w:sz w:val="32"/>
          <w:szCs w:val="32"/>
        </w:rPr>
        <w:t>（1）系统梳理我国现行教育法规范；（2）提出教</w:t>
      </w:r>
      <w:r>
        <w:rPr>
          <w:rFonts w:ascii="仿宋_GB2312" w:eastAsia="仿宋_GB2312" w:hAnsi="仿宋_GB2312" w:cs="仿宋_GB2312" w:hint="eastAsia"/>
          <w:sz w:val="32"/>
          <w:szCs w:val="32"/>
        </w:rPr>
        <w:lastRenderedPageBreak/>
        <w:t>育法规范体系化构建的核心范畴和基本原则；（3）释明当前教育法规范在全面性、合法性、逻辑自洽性方面存在的问题；（4）提出现行教育法规范的立、改、废具体方案。</w:t>
      </w:r>
    </w:p>
    <w:p w14:paraId="57B9638B" w14:textId="77777777" w:rsidR="00385380" w:rsidRDefault="004E0955">
      <w:pPr>
        <w:spacing w:beforeLines="50" w:before="156" w:afterLines="50" w:after="156"/>
        <w:ind w:firstLine="64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 xml:space="preserve">6. </w:t>
      </w:r>
      <w:r>
        <w:rPr>
          <w:rFonts w:ascii="Times New Roman" w:eastAsia="楷体_GB2312" w:hAnsi="Times New Roman" w:cs="Times New Roman" w:hint="eastAsia"/>
          <w:b/>
          <w:bCs/>
          <w:sz w:val="32"/>
          <w:szCs w:val="32"/>
        </w:rPr>
        <w:t>构建“全球治理倡议”：理论基础、现实挑战与实践路径研究（一般）</w:t>
      </w:r>
    </w:p>
    <w:p w14:paraId="7E2CB66A" w14:textId="77777777" w:rsidR="00385380" w:rsidRDefault="004E0955">
      <w:pPr>
        <w:ind w:firstLine="640"/>
        <w:rPr>
          <w:rFonts w:ascii="Times New Roman" w:eastAsia="仿宋_GB2312" w:hAnsi="Times New Roman" w:cs="仿宋_GB2312"/>
          <w:sz w:val="32"/>
          <w:szCs w:val="32"/>
        </w:rPr>
      </w:pPr>
      <w:r>
        <w:rPr>
          <w:rFonts w:ascii="Times New Roman" w:eastAsia="仿宋_GB2312" w:hAnsi="Times New Roman" w:cs="仿宋_GB2312" w:hint="eastAsia"/>
          <w:b/>
          <w:bCs/>
          <w:sz w:val="32"/>
          <w:szCs w:val="32"/>
        </w:rPr>
        <w:t>指南意图：</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）全面梳理党的十八大以来，党中央和国家层面重要文件中的涉外内容的核心理念、中心思想和主要观点，强化相关倡议的理论根基；（</w:t>
      </w: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）深入贯彻落实习近平总书记提出的“三大倡议”，研究提出“全球治理倡议”的理论及实现路径，构建中国国际倡议体系；（</w:t>
      </w: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）探索并提出具有中国特色、国际视野、全球关照的治理框架与行动方案；（</w:t>
      </w: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）构建“全球治理倡议”，研究相关倡议的具体内容、提出时机、实施路径、配套政策和保障措施等。</w:t>
      </w:r>
    </w:p>
    <w:p w14:paraId="145F086E" w14:textId="77777777" w:rsidR="00385380" w:rsidRDefault="004E0955">
      <w:pPr>
        <w:spacing w:beforeLines="50" w:before="156" w:afterLines="50" w:after="156"/>
        <w:ind w:firstLine="64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 xml:space="preserve">7. </w:t>
      </w:r>
      <w:r>
        <w:rPr>
          <w:rFonts w:ascii="Times New Roman" w:eastAsia="楷体_GB2312" w:hAnsi="Times New Roman" w:cs="Times New Roman" w:hint="eastAsia"/>
          <w:b/>
          <w:bCs/>
          <w:sz w:val="32"/>
          <w:szCs w:val="32"/>
        </w:rPr>
        <w:t>在线教育质量保障和文凭证书认可机制研究（一般）</w:t>
      </w:r>
    </w:p>
    <w:p w14:paraId="1CD32A9F" w14:textId="77777777" w:rsidR="00385380" w:rsidRDefault="004E0955">
      <w:pPr>
        <w:spacing w:beforeLines="50" w:before="156" w:afterLines="50" w:after="156"/>
        <w:ind w:firstLine="641"/>
        <w:rPr>
          <w:rFonts w:ascii="Times New Roman" w:eastAsia="楷体_GB2312" w:hAnsi="Times New Roman" w:cs="Times New Roman"/>
          <w:b/>
          <w:bCs/>
          <w:sz w:val="32"/>
          <w:szCs w:val="32"/>
        </w:rPr>
      </w:pPr>
      <w:r>
        <w:rPr>
          <w:rFonts w:ascii="楷体_GB2312" w:eastAsia="楷体_GB2312" w:hAnsi="楷体_GB2312" w:cs="楷体_GB2312" w:hint="eastAsia"/>
          <w:b/>
          <w:bCs/>
          <w:sz w:val="32"/>
          <w:szCs w:val="32"/>
        </w:rPr>
        <w:t>指南意图：</w:t>
      </w:r>
      <w:r>
        <w:rPr>
          <w:rFonts w:ascii="仿宋_GB2312" w:eastAsia="仿宋_GB2312" w:hAnsi="楷体" w:cs="Times New Roman" w:hint="eastAsia"/>
          <w:sz w:val="32"/>
          <w:szCs w:val="32"/>
        </w:rPr>
        <w:t>（1）围绕国内外在线教育进行对比研究；（2）研究梳理在线教育质量保障的规划与机制，构建在线教育质量评价标准；（3）借鉴国外在线教育文凭认可经验，总结形成适合我国国情的在线教育文凭认证考察点、评估标准以及认证程序。</w:t>
      </w:r>
    </w:p>
    <w:p w14:paraId="6C16D440" w14:textId="77777777" w:rsidR="00385380" w:rsidRDefault="004E0955">
      <w:pPr>
        <w:spacing w:beforeLines="50" w:before="156" w:afterLines="50" w:after="156"/>
        <w:ind w:firstLine="64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 xml:space="preserve">8. </w:t>
      </w:r>
      <w:r>
        <w:rPr>
          <w:rFonts w:ascii="Times New Roman" w:eastAsia="楷体_GB2312" w:hAnsi="Times New Roman" w:cs="Times New Roman" w:hint="eastAsia"/>
          <w:b/>
          <w:bCs/>
          <w:sz w:val="32"/>
          <w:szCs w:val="32"/>
        </w:rPr>
        <w:t>全球主要国家国际学生全周期管理政策比较与治理创</w:t>
      </w:r>
      <w:r>
        <w:rPr>
          <w:rFonts w:ascii="Times New Roman" w:eastAsia="楷体_GB2312" w:hAnsi="Times New Roman" w:cs="Times New Roman" w:hint="eastAsia"/>
          <w:b/>
          <w:bCs/>
          <w:sz w:val="32"/>
          <w:szCs w:val="32"/>
        </w:rPr>
        <w:lastRenderedPageBreak/>
        <w:t>新研究（一般）</w:t>
      </w:r>
    </w:p>
    <w:p w14:paraId="42D987D2" w14:textId="77777777" w:rsidR="00385380" w:rsidRDefault="004E0955">
      <w:pPr>
        <w:numPr>
          <w:ilvl w:val="255"/>
          <w:numId w:val="0"/>
        </w:numPr>
        <w:spacing w:beforeLines="50" w:before="156" w:afterLines="50" w:after="156"/>
        <w:ind w:firstLine="641"/>
        <w:rPr>
          <w:rFonts w:ascii="仿宋_GB2312" w:eastAsia="仿宋_GB2312" w:hAnsi="楷体" w:cs="Times New Roman"/>
          <w:sz w:val="32"/>
          <w:szCs w:val="32"/>
        </w:rPr>
      </w:pPr>
      <w:r>
        <w:rPr>
          <w:rFonts w:ascii="仿宋_GB2312" w:eastAsia="仿宋_GB2312" w:hAnsi="楷体" w:cs="Times New Roman" w:hint="eastAsia"/>
          <w:sz w:val="32"/>
          <w:szCs w:val="32"/>
        </w:rPr>
        <w:t>指南意图：（1）留学政策的核心价值取向和演变规律的国际比较研究；（2）构建全球留学政策动态分析框架，系统评估国际学生流动主要目的国政策工具组合；（3）形成国际学生流动政策研究的中国范式；（4）对美国、英国、德国、法国、日本、俄罗斯等国留学申请、签证、奖学金、学籍、教学培养、社会管理、就业等政策进行对比，提炼形成普适性国际学生流动影响因素分析体系；（5）构建中国特色国际学生流动治理评价指数；（6）提出优化中国国际教育治理体系的战略建议。</w:t>
      </w:r>
    </w:p>
    <w:p w14:paraId="2E3C64C6" w14:textId="77777777" w:rsidR="00385380" w:rsidRDefault="004E0955">
      <w:pPr>
        <w:spacing w:beforeLines="50" w:before="156" w:afterLines="50" w:after="156"/>
        <w:ind w:firstLine="64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 xml:space="preserve">9. </w:t>
      </w:r>
      <w:r>
        <w:rPr>
          <w:rFonts w:ascii="Times New Roman" w:eastAsia="楷体_GB2312" w:hAnsi="Times New Roman" w:cs="Times New Roman" w:hint="eastAsia"/>
          <w:b/>
          <w:bCs/>
          <w:sz w:val="32"/>
          <w:szCs w:val="32"/>
        </w:rPr>
        <w:t>教育法典编纂过程中教材立法研究（培育）</w:t>
      </w:r>
    </w:p>
    <w:p w14:paraId="5DF2BF78" w14:textId="77777777" w:rsidR="00385380" w:rsidRDefault="004E0955">
      <w:pPr>
        <w:spacing w:line="56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指南意图：（</w:t>
      </w: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）阐释“教材建设国家事权”的法理意蕴；（</w:t>
      </w: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）论证教材专门立法的必要性和可行性；（</w:t>
      </w: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）研究起草《教材管理条例》；（</w:t>
      </w: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）形成教育法典编纂背景下教材立法的可行路径与具体操作建议。</w:t>
      </w:r>
    </w:p>
    <w:p w14:paraId="44A839A2" w14:textId="77777777" w:rsidR="00385380" w:rsidRDefault="004E0955">
      <w:pPr>
        <w:spacing w:beforeLines="50" w:before="156" w:afterLines="50" w:after="156"/>
        <w:ind w:firstLine="64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 xml:space="preserve">10. </w:t>
      </w:r>
      <w:bookmarkStart w:id="0" w:name="OLE_LINK1"/>
      <w:r>
        <w:rPr>
          <w:rFonts w:ascii="Times New Roman" w:eastAsia="楷体_GB2312" w:hAnsi="Times New Roman" w:cs="Times New Roman" w:hint="eastAsia"/>
          <w:b/>
          <w:bCs/>
          <w:sz w:val="32"/>
          <w:szCs w:val="32"/>
        </w:rPr>
        <w:t>教育法典编纂过程中专门教育立法研究</w:t>
      </w:r>
      <w:bookmarkEnd w:id="0"/>
      <w:r>
        <w:rPr>
          <w:rFonts w:ascii="Times New Roman" w:eastAsia="楷体_GB2312" w:hAnsi="Times New Roman" w:cs="Times New Roman" w:hint="eastAsia"/>
          <w:b/>
          <w:bCs/>
          <w:sz w:val="32"/>
          <w:szCs w:val="32"/>
        </w:rPr>
        <w:t>（培育）</w:t>
      </w:r>
    </w:p>
    <w:p w14:paraId="04B7C9EE" w14:textId="77777777" w:rsidR="00385380" w:rsidRDefault="004E0955">
      <w:pPr>
        <w:spacing w:line="560" w:lineRule="exact"/>
        <w:ind w:firstLineChars="200" w:firstLine="643"/>
        <w:rPr>
          <w:rFonts w:ascii="Times New Roman" w:eastAsia="仿宋_GB2312" w:hAnsi="Times New Roman" w:cs="仿宋_GB2312"/>
          <w:sz w:val="32"/>
          <w:szCs w:val="32"/>
        </w:rPr>
      </w:pPr>
      <w:r>
        <w:rPr>
          <w:rFonts w:ascii="Times New Roman" w:eastAsia="仿宋_GB2312" w:hAnsi="Times New Roman" w:cs="仿宋_GB2312" w:hint="eastAsia"/>
          <w:b/>
          <w:bCs/>
          <w:sz w:val="32"/>
          <w:szCs w:val="32"/>
        </w:rPr>
        <w:t>指南意图：</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）阐释专门教育立法的价值与理论坐标；（</w:t>
      </w: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）分析当前专门教育制度建设存在的问题；（</w:t>
      </w: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）比较借鉴域外关于专门教育立法的有益经验；（</w:t>
      </w: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）提出教育法典编纂下专门教育立法的具体建议。</w:t>
      </w:r>
    </w:p>
    <w:p w14:paraId="19CA6D48" w14:textId="77777777" w:rsidR="00385380" w:rsidRDefault="004E0955">
      <w:pPr>
        <w:spacing w:beforeLines="50" w:before="156" w:afterLines="50" w:after="156"/>
        <w:ind w:firstLine="64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lastRenderedPageBreak/>
        <w:t xml:space="preserve">11. </w:t>
      </w:r>
      <w:r>
        <w:rPr>
          <w:rFonts w:ascii="Times New Roman" w:eastAsia="楷体_GB2312" w:hAnsi="Times New Roman" w:cs="Times New Roman" w:hint="eastAsia"/>
          <w:b/>
          <w:bCs/>
          <w:sz w:val="32"/>
          <w:szCs w:val="32"/>
        </w:rPr>
        <w:t>教育纠纷多元化解机制研究（培育）</w:t>
      </w:r>
    </w:p>
    <w:p w14:paraId="05CF1104" w14:textId="77777777" w:rsidR="00385380" w:rsidRDefault="004E0955">
      <w:pPr>
        <w:spacing w:line="560" w:lineRule="exact"/>
        <w:ind w:firstLineChars="200" w:firstLine="643"/>
        <w:rPr>
          <w:rFonts w:ascii="Times New Roman" w:eastAsia="仿宋_GB2312" w:hAnsi="Times New Roman" w:cs="仿宋_GB2312"/>
          <w:b/>
          <w:bCs/>
          <w:sz w:val="32"/>
          <w:szCs w:val="32"/>
        </w:rPr>
      </w:pPr>
      <w:r>
        <w:rPr>
          <w:rFonts w:ascii="Times New Roman" w:eastAsia="仿宋_GB2312" w:hAnsi="Times New Roman" w:cs="仿宋_GB2312" w:hint="eastAsia"/>
          <w:b/>
          <w:bCs/>
          <w:sz w:val="32"/>
          <w:szCs w:val="32"/>
        </w:rPr>
        <w:t>指南意图：</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）分析教育领域纠纷的主要类型；（</w:t>
      </w: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）研究现有争端解决机制的现状与问题；（</w:t>
      </w: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）就多元化解教育领域纠纷提出具体建议。</w:t>
      </w:r>
    </w:p>
    <w:p w14:paraId="73CC8038" w14:textId="77777777" w:rsidR="00385380" w:rsidRDefault="004E0955">
      <w:pPr>
        <w:spacing w:beforeLines="50" w:before="156" w:afterLines="50" w:after="156"/>
        <w:ind w:firstLine="64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 xml:space="preserve">12. </w:t>
      </w:r>
      <w:r>
        <w:rPr>
          <w:rFonts w:ascii="Times New Roman" w:eastAsia="楷体_GB2312" w:hAnsi="Times New Roman" w:cs="Times New Roman" w:hint="eastAsia"/>
          <w:b/>
          <w:bCs/>
          <w:sz w:val="32"/>
          <w:szCs w:val="32"/>
        </w:rPr>
        <w:t>高等教育行政诉讼的司法审查标准研究（培育）</w:t>
      </w:r>
    </w:p>
    <w:p w14:paraId="075FE646" w14:textId="77777777" w:rsidR="00385380" w:rsidRDefault="004E0955">
      <w:pPr>
        <w:widowControl/>
        <w:spacing w:line="560" w:lineRule="exact"/>
        <w:ind w:firstLineChars="200" w:firstLine="643"/>
        <w:rPr>
          <w:rFonts w:ascii="Times New Roman" w:eastAsia="仿宋_GB2312" w:hAnsi="Times New Roman" w:cs="仿宋_GB2312"/>
          <w:b/>
          <w:bCs/>
          <w:sz w:val="32"/>
          <w:szCs w:val="32"/>
        </w:rPr>
      </w:pPr>
      <w:r>
        <w:rPr>
          <w:rFonts w:ascii="Times New Roman" w:eastAsia="仿宋_GB2312" w:hAnsi="Times New Roman" w:cs="仿宋_GB2312" w:hint="eastAsia"/>
          <w:b/>
          <w:bCs/>
          <w:sz w:val="32"/>
          <w:szCs w:val="32"/>
        </w:rPr>
        <w:t>指南意图：</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）阐释高等教育行政诉讼司法裁量标准的特殊性；（</w:t>
      </w: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）构建具有中国特色的高等教育学术自治和高等教育司法监督的理论；（</w:t>
      </w: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）构建体系化的高等教育行政诉讼司法裁量标准。</w:t>
      </w:r>
    </w:p>
    <w:p w14:paraId="0511BDB6" w14:textId="77777777" w:rsidR="00385380" w:rsidRDefault="004E0955">
      <w:pPr>
        <w:spacing w:beforeLines="50" w:before="156" w:afterLines="50" w:after="156"/>
        <w:ind w:firstLine="64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 xml:space="preserve">13. </w:t>
      </w:r>
      <w:r>
        <w:rPr>
          <w:rFonts w:ascii="Times New Roman" w:eastAsia="楷体_GB2312" w:hAnsi="Times New Roman" w:cs="Times New Roman" w:hint="eastAsia"/>
          <w:b/>
          <w:bCs/>
          <w:sz w:val="32"/>
          <w:szCs w:val="32"/>
        </w:rPr>
        <w:t>维护教师职业尊严和合法权益体制机制研究（培育）</w:t>
      </w:r>
    </w:p>
    <w:p w14:paraId="14A79E06" w14:textId="77777777" w:rsidR="00385380" w:rsidRDefault="004E0955">
      <w:pPr>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指南意图：</w:t>
      </w:r>
      <w:r>
        <w:rPr>
          <w:rFonts w:ascii="仿宋_GB2312" w:eastAsia="仿宋_GB2312" w:hAnsi="仿宋_GB2312" w:cs="仿宋_GB2312" w:hint="eastAsia"/>
          <w:sz w:val="32"/>
          <w:szCs w:val="32"/>
        </w:rPr>
        <w:t>（1）阐释教师职业尊严和教师合法权益的基本内涵、相互关系、原则、理念；（2）分析侵犯教师职业尊严和合法权益的基本行为类型；（3）总结当前维护教师职业尊严和合法权益体制机制存在的问题；（4）教师权益救济制度的整合优化及教师法中相关条款的完善；（5）提出完善相关体制机制和法律条款的具体对策建议。</w:t>
      </w:r>
    </w:p>
    <w:p w14:paraId="7D661AC7" w14:textId="77777777" w:rsidR="00385380" w:rsidRDefault="004E0955">
      <w:pPr>
        <w:spacing w:beforeLines="50" w:before="156" w:afterLines="50" w:after="156"/>
        <w:ind w:firstLine="64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 xml:space="preserve">14. </w:t>
      </w:r>
      <w:r>
        <w:rPr>
          <w:rFonts w:ascii="Times New Roman" w:eastAsia="楷体_GB2312" w:hAnsi="Times New Roman" w:cs="Times New Roman" w:hint="eastAsia"/>
          <w:b/>
          <w:bCs/>
          <w:sz w:val="32"/>
          <w:szCs w:val="32"/>
        </w:rPr>
        <w:t>学校法治工作的标准化体系化研究（培育）</w:t>
      </w:r>
    </w:p>
    <w:p w14:paraId="511E32E3" w14:textId="77777777" w:rsidR="00385380" w:rsidRDefault="004E0955">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指南意图：</w:t>
      </w:r>
      <w:r>
        <w:rPr>
          <w:rFonts w:ascii="仿宋_GB2312" w:eastAsia="仿宋_GB2312" w:hAnsi="仿宋_GB2312" w:cs="仿宋_GB2312" w:hint="eastAsia"/>
          <w:sz w:val="32"/>
          <w:szCs w:val="32"/>
        </w:rPr>
        <w:t>（1）阐释学校法治工作的内容、原理、原则及其在学校治理中的地位和作用；（2）提出完善学校法治工作指标</w:t>
      </w:r>
      <w:r>
        <w:rPr>
          <w:rFonts w:ascii="仿宋_GB2312" w:eastAsia="仿宋_GB2312" w:hAnsi="仿宋_GB2312" w:cs="仿宋_GB2312" w:hint="eastAsia"/>
          <w:sz w:val="32"/>
          <w:szCs w:val="32"/>
        </w:rPr>
        <w:lastRenderedPageBreak/>
        <w:t>体系的意见建议；（3）阐明学校法治工作标准化建设的路径与方法；（4）建立学校法治工作体系化的框架与运行机制。</w:t>
      </w:r>
    </w:p>
    <w:p w14:paraId="0E930C34" w14:textId="77777777" w:rsidR="00385380" w:rsidRDefault="004E0955">
      <w:pPr>
        <w:spacing w:beforeLines="50" w:before="156" w:afterLines="50" w:after="156"/>
        <w:ind w:firstLine="64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 xml:space="preserve">15. </w:t>
      </w:r>
      <w:r>
        <w:rPr>
          <w:rFonts w:ascii="Times New Roman" w:eastAsia="楷体_GB2312" w:hAnsi="Times New Roman" w:cs="Times New Roman" w:hint="eastAsia"/>
          <w:b/>
          <w:bCs/>
          <w:sz w:val="32"/>
          <w:szCs w:val="32"/>
        </w:rPr>
        <w:t>数字化背景下青少年法治教育的创新模式与评估体系研究（培育）</w:t>
      </w:r>
    </w:p>
    <w:p w14:paraId="3A47E349" w14:textId="77777777" w:rsidR="00385380" w:rsidRDefault="004E0955">
      <w:pPr>
        <w:widowControl/>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指南意图：</w:t>
      </w:r>
      <w:r>
        <w:rPr>
          <w:rFonts w:ascii="仿宋_GB2312" w:eastAsia="仿宋_GB2312" w:hAnsi="仿宋_GB2312" w:cs="仿宋_GB2312" w:hint="eastAsia"/>
          <w:sz w:val="32"/>
          <w:szCs w:val="32"/>
        </w:rPr>
        <w:t>（1）论证在青少年法治教育中应用数字化技术的必要性和可行性；（2）比较借鉴域外青少年法治教育的数字化有益经验；（3）立足现实情况与未来发展需要创新设计数字化青少年法治教育模式；（4）基于创新教育模式建立包括评估指标、工具、方法、结果应用、保障机制等内容在内的青少年法治教育评估体系。</w:t>
      </w:r>
    </w:p>
    <w:p w14:paraId="72E72A6D" w14:textId="77777777" w:rsidR="00385380" w:rsidRDefault="004E0955">
      <w:pPr>
        <w:spacing w:beforeLines="50" w:before="156" w:afterLines="50" w:after="156"/>
        <w:ind w:firstLine="64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 xml:space="preserve">16. </w:t>
      </w:r>
      <w:r>
        <w:rPr>
          <w:rFonts w:ascii="Times New Roman" w:eastAsia="楷体_GB2312" w:hAnsi="Times New Roman" w:cs="Times New Roman" w:hint="eastAsia"/>
          <w:b/>
          <w:bCs/>
          <w:sz w:val="32"/>
          <w:szCs w:val="32"/>
        </w:rPr>
        <w:t>学校法律风险防范体系研究（培育）</w:t>
      </w:r>
    </w:p>
    <w:p w14:paraId="29539FAB" w14:textId="77777777" w:rsidR="00385380" w:rsidRDefault="004E0955">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指南意图：</w:t>
      </w:r>
      <w:r>
        <w:rPr>
          <w:rFonts w:ascii="仿宋_GB2312" w:eastAsia="仿宋_GB2312" w:hAnsi="仿宋_GB2312" w:cs="仿宋_GB2312" w:hint="eastAsia"/>
          <w:sz w:val="32"/>
          <w:szCs w:val="32"/>
        </w:rPr>
        <w:t>（1）梳理学校管理全流程法律风险类型；（2）梳理学校法律风险防控存在的突出问题；（3）比较借鉴域外风险防控制度经验；（4）构建具有中国特色的学校法律风险预防性法律保障机制。</w:t>
      </w:r>
    </w:p>
    <w:p w14:paraId="08213792" w14:textId="77777777" w:rsidR="00385380" w:rsidRDefault="004E0955">
      <w:pPr>
        <w:spacing w:beforeLines="50" w:before="156" w:afterLines="50" w:after="156"/>
        <w:ind w:firstLine="64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 xml:space="preserve">17. </w:t>
      </w:r>
      <w:r>
        <w:rPr>
          <w:rFonts w:ascii="Times New Roman" w:eastAsia="楷体_GB2312" w:hAnsi="Times New Roman" w:cs="Times New Roman" w:hint="eastAsia"/>
          <w:b/>
          <w:bCs/>
          <w:sz w:val="32"/>
          <w:szCs w:val="32"/>
        </w:rPr>
        <w:t>中国留学生境外保障机制研究（培育）</w:t>
      </w:r>
    </w:p>
    <w:p w14:paraId="7D5D8459" w14:textId="77777777" w:rsidR="00385380" w:rsidRDefault="004E0955">
      <w:pPr>
        <w:ind w:firstLineChars="200" w:firstLine="643"/>
        <w:rPr>
          <w:rFonts w:ascii="Times New Roman" w:eastAsia="仿宋_GB2312" w:hAnsi="Times New Roman" w:cs="仿宋_GB2312"/>
          <w:sz w:val="32"/>
          <w:szCs w:val="32"/>
        </w:rPr>
      </w:pPr>
      <w:r>
        <w:rPr>
          <w:rFonts w:ascii="楷体_GB2312" w:eastAsia="楷体_GB2312" w:hAnsi="楷体_GB2312" w:cs="楷体_GB2312"/>
          <w:b/>
          <w:bCs/>
          <w:sz w:val="32"/>
          <w:szCs w:val="32"/>
        </w:rPr>
        <w:t>指南意图：</w:t>
      </w:r>
      <w:r>
        <w:rPr>
          <w:rFonts w:ascii="仿宋_GB2312" w:eastAsia="仿宋_GB2312" w:hAnsi="楷体" w:cs="Times New Roman"/>
          <w:sz w:val="32"/>
          <w:szCs w:val="32"/>
        </w:rPr>
        <w:t>（1）</w:t>
      </w:r>
      <w:r>
        <w:rPr>
          <w:rFonts w:ascii="仿宋_GB2312" w:eastAsia="仿宋_GB2312" w:hAnsi="楷体" w:cs="Times New Roman" w:hint="eastAsia"/>
          <w:sz w:val="32"/>
          <w:szCs w:val="32"/>
        </w:rPr>
        <w:t>分析境外留学人员的安全需求；（2）梳理影响留学人员学业完成的因素；（3）梳理分析留学人员安全事件及受不公对待案例；（4）探究需求和因素背后的深层原因；（5）对比国外经验和实践要求，提高留学人员</w:t>
      </w:r>
      <w:r>
        <w:rPr>
          <w:rFonts w:ascii="Times New Roman" w:eastAsia="仿宋_GB2312" w:hAnsi="Times New Roman" w:cs="仿宋_GB2312" w:hint="eastAsia"/>
          <w:sz w:val="32"/>
          <w:szCs w:val="32"/>
        </w:rPr>
        <w:t>安全、法律保障机制、</w:t>
      </w:r>
      <w:r>
        <w:rPr>
          <w:rFonts w:ascii="Times New Roman" w:eastAsia="仿宋_GB2312" w:hAnsi="Times New Roman" w:cs="仿宋_GB2312" w:hint="eastAsia"/>
          <w:sz w:val="32"/>
          <w:szCs w:val="32"/>
        </w:rPr>
        <w:lastRenderedPageBreak/>
        <w:t>心理支持机制、防骗反诈机制等的建议。</w:t>
      </w:r>
    </w:p>
    <w:p w14:paraId="07AB3FE6" w14:textId="77777777" w:rsidR="00385380" w:rsidRDefault="004E0955">
      <w:pPr>
        <w:spacing w:beforeLines="50" w:before="156" w:afterLines="50" w:after="156"/>
        <w:ind w:firstLine="64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 xml:space="preserve">18. </w:t>
      </w:r>
      <w:r>
        <w:rPr>
          <w:rFonts w:ascii="Times New Roman" w:eastAsia="楷体_GB2312" w:hAnsi="Times New Roman" w:cs="Times New Roman" w:hint="eastAsia"/>
          <w:b/>
          <w:bCs/>
          <w:sz w:val="32"/>
          <w:szCs w:val="32"/>
        </w:rPr>
        <w:t>海外办学的法律风险防范与应对研究（培育）</w:t>
      </w:r>
    </w:p>
    <w:p w14:paraId="4FBF0DE1" w14:textId="77777777" w:rsidR="00385380" w:rsidRDefault="004E0955">
      <w:pPr>
        <w:spacing w:beforeLines="50" w:before="156" w:afterLines="50" w:after="156"/>
        <w:ind w:firstLine="641"/>
        <w:rPr>
          <w:rFonts w:ascii="Times New Roman" w:eastAsia="楷体_GB2312" w:hAnsi="Times New Roman" w:cs="Times New Roman"/>
          <w:sz w:val="32"/>
          <w:szCs w:val="32"/>
        </w:rPr>
      </w:pPr>
      <w:r>
        <w:rPr>
          <w:rFonts w:ascii="楷体_GB2312" w:eastAsia="楷体_GB2312" w:hAnsi="楷体_GB2312" w:cs="楷体_GB2312"/>
          <w:b/>
          <w:bCs/>
          <w:sz w:val="32"/>
          <w:szCs w:val="32"/>
        </w:rPr>
        <w:t>指南意图：</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）梳理海外办学法律风险点；（</w:t>
      </w: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）调研高等学校境外办学现状；（</w:t>
      </w: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）海外办学法律实践案例研究；（</w:t>
      </w: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）基于国别的海外办学可能面临的主要法律风险类型领域研究；（</w:t>
      </w:r>
      <w:r>
        <w:rPr>
          <w:rFonts w:ascii="Times New Roman" w:eastAsia="仿宋_GB2312" w:hAnsi="Times New Roman" w:cs="仿宋_GB2312" w:hint="eastAsia"/>
          <w:sz w:val="32"/>
          <w:szCs w:val="32"/>
        </w:rPr>
        <w:t>5</w:t>
      </w:r>
      <w:r>
        <w:rPr>
          <w:rFonts w:ascii="Times New Roman" w:eastAsia="仿宋_GB2312" w:hAnsi="Times New Roman" w:cs="仿宋_GB2312" w:hint="eastAsia"/>
          <w:sz w:val="32"/>
          <w:szCs w:val="32"/>
        </w:rPr>
        <w:t>）高等教育海外办学高质量发展的风险防范策略、防范体系及应对机制研究。</w:t>
      </w:r>
    </w:p>
    <w:p w14:paraId="6F845AD6" w14:textId="77777777" w:rsidR="00385380" w:rsidRDefault="004E0955">
      <w:pPr>
        <w:spacing w:beforeLines="50" w:before="156" w:afterLines="50" w:after="156"/>
        <w:ind w:firstLine="641"/>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 xml:space="preserve">19. </w:t>
      </w:r>
      <w:r>
        <w:rPr>
          <w:rFonts w:ascii="Times New Roman" w:eastAsia="楷体_GB2312" w:hAnsi="Times New Roman" w:cs="Times New Roman" w:hint="eastAsia"/>
          <w:b/>
          <w:bCs/>
          <w:sz w:val="32"/>
          <w:szCs w:val="32"/>
        </w:rPr>
        <w:t>来华留学的准入、评价与服务机制研究（培育）</w:t>
      </w:r>
    </w:p>
    <w:p w14:paraId="439DA560" w14:textId="77777777" w:rsidR="00385380" w:rsidRDefault="004E0955">
      <w:pPr>
        <w:spacing w:line="560" w:lineRule="exact"/>
        <w:ind w:firstLineChars="200" w:firstLine="643"/>
        <w:rPr>
          <w:rFonts w:ascii="Times New Roman" w:eastAsia="仿宋_GB2312" w:hAnsi="Times New Roman" w:cs="仿宋_GB2312"/>
          <w:sz w:val="32"/>
          <w:szCs w:val="32"/>
        </w:rPr>
      </w:pPr>
      <w:r>
        <w:rPr>
          <w:rFonts w:ascii="楷体_GB2312" w:eastAsia="楷体_GB2312" w:hAnsi="楷体_GB2312" w:cs="楷体_GB2312"/>
          <w:b/>
          <w:bCs/>
          <w:sz w:val="32"/>
          <w:szCs w:val="32"/>
        </w:rPr>
        <w:t>指南意图：</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）聚焦留学的准入、评价与服务三个方面开展调研和国际比较研究；（</w:t>
      </w: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）对来华留学相关各方调研来华留学存在的问题、不足与挑战；（</w:t>
      </w: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）提出优化来华留学准入机制、评价体系、留学体验的对策建议。</w:t>
      </w:r>
    </w:p>
    <w:p w14:paraId="11DE216E" w14:textId="77777777" w:rsidR="00385380" w:rsidRDefault="004E0955">
      <w:pPr>
        <w:widowControl/>
        <w:spacing w:line="560" w:lineRule="exact"/>
        <w:ind w:firstLineChars="200" w:firstLine="643"/>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 xml:space="preserve">20. </w:t>
      </w:r>
      <w:r>
        <w:rPr>
          <w:rFonts w:ascii="Times New Roman" w:eastAsia="楷体_GB2312" w:hAnsi="Times New Roman" w:cs="Times New Roman" w:hint="eastAsia"/>
          <w:b/>
          <w:bCs/>
          <w:sz w:val="32"/>
          <w:szCs w:val="32"/>
        </w:rPr>
        <w:t>建设具有全球影响力的重要教育中心的保障体系研究（培育）</w:t>
      </w:r>
    </w:p>
    <w:p w14:paraId="11B52C5D" w14:textId="77777777" w:rsidR="00385380" w:rsidRDefault="004E0955">
      <w:pPr>
        <w:ind w:firstLine="640"/>
        <w:rPr>
          <w:rFonts w:ascii="Times New Roman" w:eastAsia="仿宋_GB2312" w:hAnsi="Times New Roman" w:cs="仿宋_GB2312"/>
          <w:sz w:val="32"/>
          <w:szCs w:val="32"/>
        </w:rPr>
      </w:pPr>
      <w:r>
        <w:rPr>
          <w:rFonts w:ascii="Times New Roman" w:eastAsia="楷体_GB2312" w:hAnsi="Times New Roman" w:cs="Times New Roman" w:hint="eastAsia"/>
          <w:b/>
          <w:bCs/>
          <w:sz w:val="32"/>
          <w:szCs w:val="32"/>
        </w:rPr>
        <w:t>指南意图：</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）梳理建设全球重要教育中心过程中涉及的法律政策问题；（</w:t>
      </w: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）分析国际上设立教育类国际组织的法律政策框架；（</w:t>
      </w: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）围绕当前在我国设立全球教育类国际组织开展法律政策分析研究；（</w:t>
      </w: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）提出针对性的解决方案。</w:t>
      </w:r>
    </w:p>
    <w:p w14:paraId="6E73B67C" w14:textId="77777777" w:rsidR="00385380" w:rsidRDefault="004E0955">
      <w:pPr>
        <w:spacing w:beforeLines="50" w:before="156" w:afterLines="50" w:after="156"/>
        <w:ind w:firstLine="641"/>
        <w:rPr>
          <w:rFonts w:ascii="Times New Roman" w:hAnsi="Times New Roman"/>
          <w:b/>
          <w:bCs/>
        </w:rPr>
      </w:pPr>
      <w:r>
        <w:rPr>
          <w:rFonts w:ascii="Times New Roman" w:eastAsia="楷体_GB2312" w:hAnsi="Times New Roman" w:cs="Times New Roman" w:hint="eastAsia"/>
          <w:b/>
          <w:bCs/>
          <w:sz w:val="32"/>
          <w:szCs w:val="32"/>
        </w:rPr>
        <w:t xml:space="preserve">21. </w:t>
      </w:r>
      <w:r>
        <w:rPr>
          <w:rFonts w:ascii="Times New Roman" w:eastAsia="楷体_GB2312" w:hAnsi="Times New Roman" w:cs="Times New Roman" w:hint="eastAsia"/>
          <w:b/>
          <w:bCs/>
          <w:sz w:val="32"/>
          <w:szCs w:val="32"/>
        </w:rPr>
        <w:t>中国教育国际标准的研制与推广机制研究（培育）</w:t>
      </w:r>
    </w:p>
    <w:p w14:paraId="682CB6EB" w14:textId="77777777" w:rsidR="00385380" w:rsidRDefault="004E0955">
      <w:pPr>
        <w:ind w:firstLine="640"/>
        <w:rPr>
          <w:rFonts w:ascii="Times New Roman" w:eastAsia="仿宋_GB2312" w:hAnsi="Times New Roman" w:cs="仿宋_GB2312"/>
          <w:sz w:val="32"/>
          <w:szCs w:val="32"/>
        </w:rPr>
      </w:pPr>
      <w:r>
        <w:rPr>
          <w:rFonts w:ascii="Times New Roman" w:eastAsia="楷体_GB2312" w:hAnsi="Times New Roman" w:cs="Times New Roman" w:hint="eastAsia"/>
          <w:b/>
          <w:bCs/>
          <w:sz w:val="32"/>
          <w:szCs w:val="32"/>
        </w:rPr>
        <w:lastRenderedPageBreak/>
        <w:t>指南意图：</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）分析各级各类教育中国际标准涉及的要素、领域、维度、内涵等；（</w:t>
      </w: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）调研中国高等教育标准国际化的发展现状；（</w:t>
      </w: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）总结国际优秀做法与先进经验；（</w:t>
      </w: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）提出中国教育国际标准研制建议以及标准体系构建建议；（</w:t>
      </w:r>
      <w:r>
        <w:rPr>
          <w:rFonts w:ascii="Times New Roman" w:eastAsia="仿宋_GB2312" w:hAnsi="Times New Roman" w:cs="仿宋_GB2312" w:hint="eastAsia"/>
          <w:sz w:val="32"/>
          <w:szCs w:val="32"/>
        </w:rPr>
        <w:t>5</w:t>
      </w:r>
      <w:r>
        <w:rPr>
          <w:rFonts w:ascii="Times New Roman" w:eastAsia="仿宋_GB2312" w:hAnsi="Times New Roman" w:cs="仿宋_GB2312" w:hint="eastAsia"/>
          <w:sz w:val="32"/>
          <w:szCs w:val="32"/>
        </w:rPr>
        <w:t>）提出相应的一揽子推广建议与方案。</w:t>
      </w:r>
    </w:p>
    <w:p w14:paraId="16724996" w14:textId="77777777" w:rsidR="00385380" w:rsidRDefault="004E0955">
      <w:pPr>
        <w:ind w:firstLineChars="200" w:firstLine="643"/>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22.</w:t>
      </w:r>
      <w:r>
        <w:rPr>
          <w:rFonts w:ascii="Times New Roman" w:eastAsia="楷体_GB2312" w:hAnsi="Times New Roman" w:cs="Times New Roman" w:hint="eastAsia"/>
          <w:b/>
          <w:bCs/>
          <w:sz w:val="32"/>
          <w:szCs w:val="32"/>
        </w:rPr>
        <w:t>国（境）外低质量学位学历的法律和治理机制研究（培育）</w:t>
      </w:r>
    </w:p>
    <w:p w14:paraId="397DCEC4" w14:textId="77777777" w:rsidR="00385380" w:rsidRDefault="004E0955">
      <w:pPr>
        <w:spacing w:beforeLines="50" w:before="156" w:afterLines="50" w:after="156"/>
        <w:ind w:firstLine="641"/>
        <w:rPr>
          <w:rFonts w:ascii="仿宋_GB2312" w:eastAsia="仿宋_GB2312" w:hAnsi="楷体" w:cs="Times New Roman"/>
          <w:sz w:val="32"/>
          <w:szCs w:val="32"/>
        </w:rPr>
      </w:pPr>
      <w:r>
        <w:rPr>
          <w:rFonts w:ascii="Times New Roman" w:eastAsia="楷体_GB2312" w:hAnsi="Times New Roman" w:cs="Times New Roman" w:hint="eastAsia"/>
          <w:b/>
          <w:bCs/>
          <w:sz w:val="32"/>
          <w:szCs w:val="32"/>
        </w:rPr>
        <w:t>指南意图：</w:t>
      </w:r>
      <w:r>
        <w:rPr>
          <w:rFonts w:ascii="仿宋_GB2312" w:eastAsia="仿宋_GB2312" w:hAnsi="楷体" w:cs="Times New Roman" w:hint="eastAsia"/>
          <w:sz w:val="32"/>
          <w:szCs w:val="32"/>
        </w:rPr>
        <w:t>（1）研究</w:t>
      </w:r>
      <w:r>
        <w:rPr>
          <w:rFonts w:ascii="仿宋_GB2312" w:eastAsia="仿宋_GB2312" w:hAnsi="楷体" w:cs="Times New Roman" w:hint="eastAsia"/>
          <w:sz w:val="32"/>
          <w:szCs w:val="32"/>
          <w:lang w:eastAsia="zh-Hans"/>
        </w:rPr>
        <w:t>低质量学历学位的认定以及现有的法律基础</w:t>
      </w:r>
      <w:r>
        <w:rPr>
          <w:rFonts w:ascii="仿宋_GB2312" w:eastAsia="仿宋_GB2312" w:hAnsi="楷体" w:cs="Times New Roman" w:hint="eastAsia"/>
          <w:sz w:val="32"/>
          <w:szCs w:val="32"/>
        </w:rPr>
        <w:t>；（2）</w:t>
      </w:r>
      <w:r>
        <w:rPr>
          <w:rFonts w:ascii="仿宋_GB2312" w:eastAsia="仿宋_GB2312" w:hAnsi="楷体" w:cs="Times New Roman" w:hint="eastAsia"/>
          <w:sz w:val="32"/>
          <w:szCs w:val="32"/>
          <w:lang w:eastAsia="zh-Hans"/>
        </w:rPr>
        <w:t>分析</w:t>
      </w:r>
      <w:r>
        <w:rPr>
          <w:rFonts w:ascii="仿宋_GB2312" w:eastAsia="仿宋_GB2312" w:hAnsi="楷体" w:cs="Times New Roman" w:hint="eastAsia"/>
          <w:sz w:val="32"/>
          <w:szCs w:val="32"/>
        </w:rPr>
        <w:t>低质量文凭课程</w:t>
      </w:r>
      <w:r>
        <w:rPr>
          <w:rFonts w:ascii="仿宋_GB2312" w:eastAsia="仿宋_GB2312" w:hAnsi="楷体" w:cs="Times New Roman" w:hint="eastAsia"/>
          <w:sz w:val="32"/>
          <w:szCs w:val="32"/>
          <w:lang w:eastAsia="zh-Hans"/>
        </w:rPr>
        <w:t>治理的现状及存在的问题</w:t>
      </w:r>
      <w:r>
        <w:rPr>
          <w:rFonts w:ascii="仿宋_GB2312" w:eastAsia="仿宋_GB2312" w:hAnsi="楷体" w:cs="Times New Roman" w:hint="eastAsia"/>
          <w:sz w:val="32"/>
          <w:szCs w:val="32"/>
        </w:rPr>
        <w:t>；（3）研究</w:t>
      </w:r>
      <w:r>
        <w:rPr>
          <w:rFonts w:ascii="仿宋_GB2312" w:eastAsia="仿宋_GB2312" w:hAnsi="楷体" w:cs="Times New Roman" w:hint="eastAsia"/>
          <w:sz w:val="32"/>
          <w:szCs w:val="32"/>
          <w:lang w:eastAsia="zh-Hans"/>
        </w:rPr>
        <w:t>低质量学位学历的国外治理经验</w:t>
      </w:r>
      <w:r>
        <w:rPr>
          <w:rFonts w:ascii="仿宋_GB2312" w:eastAsia="仿宋_GB2312" w:hAnsi="楷体" w:cs="Times New Roman" w:hint="eastAsia"/>
          <w:sz w:val="32"/>
          <w:szCs w:val="32"/>
        </w:rPr>
        <w:t>；（4）提出完善低质文凭课程从识别、考察、认证建议、综合治理到风险化解的全链条工作机制和相关法律的建议。</w:t>
      </w:r>
    </w:p>
    <w:p w14:paraId="2A7215CA" w14:textId="77777777" w:rsidR="00385380" w:rsidRDefault="004E0955">
      <w:pPr>
        <w:ind w:firstLine="640"/>
        <w:rPr>
          <w:rFonts w:ascii="Times New Roman" w:hAnsi="Times New Roman"/>
          <w:b/>
          <w:bCs/>
        </w:rPr>
      </w:pPr>
      <w:r>
        <w:rPr>
          <w:rFonts w:ascii="Times New Roman" w:eastAsia="楷体_GB2312" w:hAnsi="Times New Roman" w:cs="Times New Roman" w:hint="eastAsia"/>
          <w:b/>
          <w:bCs/>
          <w:sz w:val="32"/>
          <w:szCs w:val="32"/>
        </w:rPr>
        <w:t xml:space="preserve">23. </w:t>
      </w:r>
      <w:r>
        <w:rPr>
          <w:rFonts w:ascii="Times New Roman" w:eastAsia="楷体_GB2312" w:hAnsi="Times New Roman" w:cs="Times New Roman" w:hint="eastAsia"/>
          <w:b/>
          <w:bCs/>
          <w:sz w:val="32"/>
          <w:szCs w:val="32"/>
        </w:rPr>
        <w:t>国外学位认证的法律基础研究（培育）</w:t>
      </w:r>
    </w:p>
    <w:p w14:paraId="75BA9F07" w14:textId="77777777" w:rsidR="00385380" w:rsidRDefault="004E0955">
      <w:pPr>
        <w:spacing w:beforeLines="50" w:before="156" w:afterLines="50" w:after="156"/>
        <w:ind w:firstLine="641"/>
        <w:rPr>
          <w:rFonts w:ascii="仿宋_GB2312" w:eastAsia="仿宋_GB2312" w:hAnsi="楷体" w:cs="Times New Roman"/>
          <w:sz w:val="32"/>
          <w:szCs w:val="32"/>
        </w:rPr>
      </w:pPr>
      <w:r>
        <w:rPr>
          <w:rFonts w:ascii="Times New Roman" w:eastAsia="楷体_GB2312" w:hAnsi="Times New Roman" w:cs="Times New Roman" w:hint="eastAsia"/>
          <w:b/>
          <w:bCs/>
          <w:sz w:val="32"/>
          <w:szCs w:val="32"/>
        </w:rPr>
        <w:t>指南意图：</w:t>
      </w:r>
      <w:r>
        <w:rPr>
          <w:rFonts w:ascii="仿宋_GB2312" w:eastAsia="仿宋_GB2312" w:hAnsi="楷体" w:cs="Times New Roman" w:hint="eastAsia"/>
          <w:sz w:val="32"/>
          <w:szCs w:val="32"/>
        </w:rPr>
        <w:t>（1）梳理学历学位认证工作涉及的国内外法律法规、部门规章以及规范性文件的法律依据和法律框架；（2）分析各层级法律规范在学位认证中的适用范围和具体作用；（3）剖析现有法律基础存在的问题；（4）提出完善学位认证的法律和制度建设建议。</w:t>
      </w:r>
    </w:p>
    <w:p w14:paraId="1373B5AC" w14:textId="77777777" w:rsidR="00385380" w:rsidRDefault="004E0955">
      <w:pPr>
        <w:ind w:firstLine="640"/>
        <w:rPr>
          <w:rFonts w:ascii="Times New Roman" w:eastAsia="楷体_GB2312" w:hAnsi="Times New Roman" w:cs="Times New Roman"/>
          <w:b/>
          <w:bCs/>
          <w:sz w:val="32"/>
          <w:szCs w:val="32"/>
        </w:rPr>
      </w:pPr>
      <w:r>
        <w:rPr>
          <w:rFonts w:ascii="Times New Roman" w:eastAsia="楷体_GB2312" w:hAnsi="Times New Roman" w:cs="Times New Roman" w:hint="eastAsia"/>
          <w:b/>
          <w:bCs/>
          <w:sz w:val="32"/>
          <w:szCs w:val="32"/>
        </w:rPr>
        <w:t xml:space="preserve">24. </w:t>
      </w:r>
      <w:r>
        <w:rPr>
          <w:rFonts w:ascii="Times New Roman" w:eastAsia="楷体_GB2312" w:hAnsi="Times New Roman" w:cs="Times New Roman" w:hint="eastAsia"/>
          <w:b/>
          <w:bCs/>
          <w:sz w:val="32"/>
          <w:szCs w:val="32"/>
        </w:rPr>
        <w:t>外籍教师聘任管理研究（培育）</w:t>
      </w:r>
    </w:p>
    <w:p w14:paraId="590D5123" w14:textId="77777777" w:rsidR="00385380" w:rsidRDefault="004E0955">
      <w:pPr>
        <w:spacing w:line="560" w:lineRule="exact"/>
        <w:ind w:firstLineChars="200" w:firstLine="643"/>
        <w:rPr>
          <w:rFonts w:ascii="Times New Roman" w:eastAsia="楷体_GB2312" w:hAnsi="Times New Roman" w:cs="Times New Roman"/>
          <w:sz w:val="32"/>
          <w:szCs w:val="32"/>
        </w:rPr>
      </w:pPr>
      <w:r>
        <w:rPr>
          <w:rFonts w:ascii="Times New Roman" w:eastAsia="仿宋_GB2312" w:hAnsi="Times New Roman" w:cs="仿宋_GB2312" w:hint="eastAsia"/>
          <w:b/>
          <w:bCs/>
          <w:sz w:val="32"/>
          <w:szCs w:val="32"/>
        </w:rPr>
        <w:lastRenderedPageBreak/>
        <w:t>指南意图：</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）分析我国引进外籍教师的战略意义和实际需求；（</w:t>
      </w: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）研究大中小学外籍教师教育教学专业资质审核法律依据、审核要点及流程；（</w:t>
      </w: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）提出高水平外籍教师引进渠道、</w:t>
      </w:r>
      <w:r>
        <w:rPr>
          <w:rFonts w:ascii="Times New Roman" w:eastAsia="仿宋_GB2312" w:hAnsi="Times New Roman" w:cs="仿宋_GB2312" w:hint="eastAsia"/>
          <w:sz w:val="32"/>
          <w:szCs w:val="32"/>
        </w:rPr>
        <w:t>STEM</w:t>
      </w:r>
      <w:r>
        <w:rPr>
          <w:rFonts w:ascii="Times New Roman" w:eastAsia="仿宋_GB2312" w:hAnsi="Times New Roman" w:cs="仿宋_GB2312" w:hint="eastAsia"/>
          <w:sz w:val="32"/>
          <w:szCs w:val="32"/>
        </w:rPr>
        <w:t>学科及语言类教师引进布局的建议。</w:t>
      </w:r>
    </w:p>
    <w:sectPr w:rsidR="00385380">
      <w:footerReference w:type="default" r:id="rId7"/>
      <w:pgSz w:w="11906" w:h="16838"/>
      <w:pgMar w:top="2098" w:right="1587" w:bottom="1984" w:left="158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08B16" w14:textId="77777777" w:rsidR="0073594E" w:rsidRDefault="0073594E">
      <w:r>
        <w:separator/>
      </w:r>
    </w:p>
  </w:endnote>
  <w:endnote w:type="continuationSeparator" w:id="0">
    <w:p w14:paraId="17BD5657" w14:textId="77777777" w:rsidR="0073594E" w:rsidRDefault="00735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15BAA" w14:textId="77777777" w:rsidR="00385380" w:rsidRDefault="004E0955">
    <w:pPr>
      <w:pStyle w:val="a5"/>
    </w:pPr>
    <w:r>
      <w:rPr>
        <w:noProof/>
      </w:rPr>
      <mc:AlternateContent>
        <mc:Choice Requires="wps">
          <w:drawing>
            <wp:anchor distT="0" distB="0" distL="114300" distR="114300" simplePos="0" relativeHeight="251659264" behindDoc="0" locked="0" layoutInCell="1" allowOverlap="1" wp14:anchorId="1111FBF5" wp14:editId="79FB95C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AF12B2" w14:textId="77777777" w:rsidR="00385380" w:rsidRDefault="004E0955">
                          <w:pPr>
                            <w:pStyle w:val="a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111FBF5"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43AF12B2" w14:textId="77777777" w:rsidR="00385380" w:rsidRDefault="004E0955">
                    <w:pPr>
                      <w:pStyle w:val="a5"/>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F85C7" w14:textId="77777777" w:rsidR="0073594E" w:rsidRDefault="0073594E">
      <w:r>
        <w:separator/>
      </w:r>
    </w:p>
  </w:footnote>
  <w:footnote w:type="continuationSeparator" w:id="0">
    <w:p w14:paraId="318475CC" w14:textId="77777777" w:rsidR="0073594E" w:rsidRDefault="007359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UxOTVkN2ZmMjVjM2EzNTY4MWNhM2I2OGZkMjAyOTMifQ=="/>
    <w:docVar w:name="KSO_WPS_MARK_KEY" w:val="faf408fd-6399-4858-9638-f35feb32f65a"/>
  </w:docVars>
  <w:rsids>
    <w:rsidRoot w:val="03D015D7"/>
    <w:rsid w:val="00133C34"/>
    <w:rsid w:val="00260EBD"/>
    <w:rsid w:val="00385380"/>
    <w:rsid w:val="00390229"/>
    <w:rsid w:val="004E0955"/>
    <w:rsid w:val="0073594E"/>
    <w:rsid w:val="009F5CBD"/>
    <w:rsid w:val="00F17FB3"/>
    <w:rsid w:val="01632467"/>
    <w:rsid w:val="0191344F"/>
    <w:rsid w:val="032338E1"/>
    <w:rsid w:val="0331750E"/>
    <w:rsid w:val="03396A63"/>
    <w:rsid w:val="037934F5"/>
    <w:rsid w:val="03D015D7"/>
    <w:rsid w:val="048E122E"/>
    <w:rsid w:val="04B22E52"/>
    <w:rsid w:val="04CE1F73"/>
    <w:rsid w:val="05A1556C"/>
    <w:rsid w:val="05BA479A"/>
    <w:rsid w:val="064F71A2"/>
    <w:rsid w:val="081C26F5"/>
    <w:rsid w:val="08563242"/>
    <w:rsid w:val="08A2799E"/>
    <w:rsid w:val="08F8781E"/>
    <w:rsid w:val="09202931"/>
    <w:rsid w:val="0AAD5BA8"/>
    <w:rsid w:val="0B047EA8"/>
    <w:rsid w:val="0B130875"/>
    <w:rsid w:val="0C1441E7"/>
    <w:rsid w:val="0C2D57D1"/>
    <w:rsid w:val="0C4C7A75"/>
    <w:rsid w:val="0CBB4B8B"/>
    <w:rsid w:val="0D2441ED"/>
    <w:rsid w:val="0D304DED"/>
    <w:rsid w:val="0E535F95"/>
    <w:rsid w:val="0E73023A"/>
    <w:rsid w:val="0EED5CC8"/>
    <w:rsid w:val="0F16122F"/>
    <w:rsid w:val="0FEE5277"/>
    <w:rsid w:val="10482BD9"/>
    <w:rsid w:val="104A6F90"/>
    <w:rsid w:val="105608E0"/>
    <w:rsid w:val="10615A49"/>
    <w:rsid w:val="11335B4B"/>
    <w:rsid w:val="1157426E"/>
    <w:rsid w:val="11787A1C"/>
    <w:rsid w:val="11877731"/>
    <w:rsid w:val="122D5680"/>
    <w:rsid w:val="12971B2C"/>
    <w:rsid w:val="136D227B"/>
    <w:rsid w:val="14C77D01"/>
    <w:rsid w:val="14CB179A"/>
    <w:rsid w:val="1660561E"/>
    <w:rsid w:val="166A3BE5"/>
    <w:rsid w:val="172265D6"/>
    <w:rsid w:val="172779EC"/>
    <w:rsid w:val="17984446"/>
    <w:rsid w:val="17D82A97"/>
    <w:rsid w:val="1A6A5E64"/>
    <w:rsid w:val="1B7E6450"/>
    <w:rsid w:val="1BAC4A41"/>
    <w:rsid w:val="1BED2887"/>
    <w:rsid w:val="1D081BC3"/>
    <w:rsid w:val="1D554B87"/>
    <w:rsid w:val="1E0F552D"/>
    <w:rsid w:val="1E360515"/>
    <w:rsid w:val="1E7563B6"/>
    <w:rsid w:val="1F026E1F"/>
    <w:rsid w:val="1F3E65C2"/>
    <w:rsid w:val="1FF3184D"/>
    <w:rsid w:val="1FF97C68"/>
    <w:rsid w:val="200946E1"/>
    <w:rsid w:val="201D6D3F"/>
    <w:rsid w:val="2026550C"/>
    <w:rsid w:val="20637954"/>
    <w:rsid w:val="21857FA4"/>
    <w:rsid w:val="21A47E8B"/>
    <w:rsid w:val="22356D36"/>
    <w:rsid w:val="22610049"/>
    <w:rsid w:val="239451DD"/>
    <w:rsid w:val="239C3530"/>
    <w:rsid w:val="24C70119"/>
    <w:rsid w:val="25037F84"/>
    <w:rsid w:val="25253091"/>
    <w:rsid w:val="252738F3"/>
    <w:rsid w:val="25AB3597"/>
    <w:rsid w:val="26143832"/>
    <w:rsid w:val="269A7D3A"/>
    <w:rsid w:val="271D4196"/>
    <w:rsid w:val="273D0B66"/>
    <w:rsid w:val="27AF693F"/>
    <w:rsid w:val="283552A1"/>
    <w:rsid w:val="285C1013"/>
    <w:rsid w:val="289F6F98"/>
    <w:rsid w:val="28F23F5F"/>
    <w:rsid w:val="28F434A6"/>
    <w:rsid w:val="2920604A"/>
    <w:rsid w:val="29C25353"/>
    <w:rsid w:val="29E96D83"/>
    <w:rsid w:val="29FD45DD"/>
    <w:rsid w:val="2A2D6E1E"/>
    <w:rsid w:val="2A3D5E4C"/>
    <w:rsid w:val="2A6E4940"/>
    <w:rsid w:val="2A913648"/>
    <w:rsid w:val="2AF06A42"/>
    <w:rsid w:val="2BBB7D74"/>
    <w:rsid w:val="2BC35AA3"/>
    <w:rsid w:val="2DC30DFC"/>
    <w:rsid w:val="2E1343CF"/>
    <w:rsid w:val="2E552C39"/>
    <w:rsid w:val="2F064378"/>
    <w:rsid w:val="2F950E14"/>
    <w:rsid w:val="3006698C"/>
    <w:rsid w:val="301B498B"/>
    <w:rsid w:val="30514F89"/>
    <w:rsid w:val="30A47C65"/>
    <w:rsid w:val="30D872A8"/>
    <w:rsid w:val="339B21DC"/>
    <w:rsid w:val="34785525"/>
    <w:rsid w:val="35A308C5"/>
    <w:rsid w:val="36407D2B"/>
    <w:rsid w:val="366C0B20"/>
    <w:rsid w:val="36975B9F"/>
    <w:rsid w:val="36C35588"/>
    <w:rsid w:val="36E27034"/>
    <w:rsid w:val="3720190B"/>
    <w:rsid w:val="38034BC1"/>
    <w:rsid w:val="398D6C3F"/>
    <w:rsid w:val="3A303A2C"/>
    <w:rsid w:val="3A9D7939"/>
    <w:rsid w:val="3B2319C9"/>
    <w:rsid w:val="3BF910A8"/>
    <w:rsid w:val="3C65673D"/>
    <w:rsid w:val="3CA7495E"/>
    <w:rsid w:val="3CEF368A"/>
    <w:rsid w:val="3D163594"/>
    <w:rsid w:val="3DB827A5"/>
    <w:rsid w:val="3DD703CA"/>
    <w:rsid w:val="3F233462"/>
    <w:rsid w:val="3F756DAC"/>
    <w:rsid w:val="4016694D"/>
    <w:rsid w:val="41423F92"/>
    <w:rsid w:val="41603E0D"/>
    <w:rsid w:val="418D3D1B"/>
    <w:rsid w:val="429B36D7"/>
    <w:rsid w:val="438B387E"/>
    <w:rsid w:val="43C71D26"/>
    <w:rsid w:val="456450B8"/>
    <w:rsid w:val="45967305"/>
    <w:rsid w:val="4635022C"/>
    <w:rsid w:val="46DD1AFD"/>
    <w:rsid w:val="472B7227"/>
    <w:rsid w:val="47AF2F63"/>
    <w:rsid w:val="47B2035D"/>
    <w:rsid w:val="4859366D"/>
    <w:rsid w:val="486616A1"/>
    <w:rsid w:val="48AE6D76"/>
    <w:rsid w:val="48D83E70"/>
    <w:rsid w:val="49156DF5"/>
    <w:rsid w:val="498C182D"/>
    <w:rsid w:val="4A9E5F51"/>
    <w:rsid w:val="4ADD6D8E"/>
    <w:rsid w:val="4ADE012D"/>
    <w:rsid w:val="4B907038"/>
    <w:rsid w:val="4BD61EF6"/>
    <w:rsid w:val="4D3F4D77"/>
    <w:rsid w:val="4D562F24"/>
    <w:rsid w:val="4E8D742E"/>
    <w:rsid w:val="4F3616B6"/>
    <w:rsid w:val="4FFD16DF"/>
    <w:rsid w:val="50266F8B"/>
    <w:rsid w:val="51166C6F"/>
    <w:rsid w:val="514C521A"/>
    <w:rsid w:val="51776E50"/>
    <w:rsid w:val="51B827F6"/>
    <w:rsid w:val="51B86EB8"/>
    <w:rsid w:val="51EB22FE"/>
    <w:rsid w:val="51FE7753"/>
    <w:rsid w:val="52477B70"/>
    <w:rsid w:val="53C438F2"/>
    <w:rsid w:val="544E5189"/>
    <w:rsid w:val="55C67DF5"/>
    <w:rsid w:val="55DD5EA6"/>
    <w:rsid w:val="5609223F"/>
    <w:rsid w:val="56424FCF"/>
    <w:rsid w:val="56427760"/>
    <w:rsid w:val="56AB0A44"/>
    <w:rsid w:val="56E04EE6"/>
    <w:rsid w:val="57517B92"/>
    <w:rsid w:val="575A2CBD"/>
    <w:rsid w:val="57DE4296"/>
    <w:rsid w:val="58204665"/>
    <w:rsid w:val="58E80082"/>
    <w:rsid w:val="5954396A"/>
    <w:rsid w:val="59E0763D"/>
    <w:rsid w:val="5A786F30"/>
    <w:rsid w:val="5A950149"/>
    <w:rsid w:val="5AF977CE"/>
    <w:rsid w:val="5B6B556E"/>
    <w:rsid w:val="5BE508A9"/>
    <w:rsid w:val="5BED775E"/>
    <w:rsid w:val="5C171A25"/>
    <w:rsid w:val="5C245818"/>
    <w:rsid w:val="5C4F0894"/>
    <w:rsid w:val="5D015043"/>
    <w:rsid w:val="5E511C49"/>
    <w:rsid w:val="5E9F72A7"/>
    <w:rsid w:val="5EBD5F93"/>
    <w:rsid w:val="5F061196"/>
    <w:rsid w:val="5FB44474"/>
    <w:rsid w:val="6032369E"/>
    <w:rsid w:val="609307D2"/>
    <w:rsid w:val="60C90403"/>
    <w:rsid w:val="611759A9"/>
    <w:rsid w:val="612322FC"/>
    <w:rsid w:val="61392128"/>
    <w:rsid w:val="61865F80"/>
    <w:rsid w:val="61F061FA"/>
    <w:rsid w:val="62155EEF"/>
    <w:rsid w:val="630735F9"/>
    <w:rsid w:val="639037F0"/>
    <w:rsid w:val="63E659D1"/>
    <w:rsid w:val="6497439E"/>
    <w:rsid w:val="64B01871"/>
    <w:rsid w:val="65261D9A"/>
    <w:rsid w:val="66487C70"/>
    <w:rsid w:val="6669039A"/>
    <w:rsid w:val="675D0152"/>
    <w:rsid w:val="683756F1"/>
    <w:rsid w:val="68CF47B6"/>
    <w:rsid w:val="692C4915"/>
    <w:rsid w:val="699A3F04"/>
    <w:rsid w:val="69B60103"/>
    <w:rsid w:val="69DD6E91"/>
    <w:rsid w:val="6B2A419E"/>
    <w:rsid w:val="6B31008D"/>
    <w:rsid w:val="6B4078AA"/>
    <w:rsid w:val="6B833D75"/>
    <w:rsid w:val="6D6B0A08"/>
    <w:rsid w:val="6E030AA0"/>
    <w:rsid w:val="6EEF1FAD"/>
    <w:rsid w:val="6F7B50B7"/>
    <w:rsid w:val="6F8E6454"/>
    <w:rsid w:val="701B0142"/>
    <w:rsid w:val="72894069"/>
    <w:rsid w:val="733817AF"/>
    <w:rsid w:val="73512F62"/>
    <w:rsid w:val="735B2516"/>
    <w:rsid w:val="74480466"/>
    <w:rsid w:val="74FE2AA8"/>
    <w:rsid w:val="76116A13"/>
    <w:rsid w:val="76392208"/>
    <w:rsid w:val="76F8372F"/>
    <w:rsid w:val="775572CE"/>
    <w:rsid w:val="78586402"/>
    <w:rsid w:val="786646C4"/>
    <w:rsid w:val="78A02850"/>
    <w:rsid w:val="791A1778"/>
    <w:rsid w:val="7DFD6736"/>
    <w:rsid w:val="7EE461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E8D7BE"/>
  <w15:docId w15:val="{2709772F-5B42-4DF3-A504-AD3EC3E4E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Autospacing="1" w:afterAutospacing="1"/>
      <w:jc w:val="center"/>
      <w:outlineLvl w:val="0"/>
    </w:pPr>
    <w:rPr>
      <w:rFonts w:ascii="宋体" w:eastAsia="方正小标宋简体" w:hAnsi="宋体" w:cs="Times New Roman" w:hint="eastAsia"/>
      <w:b/>
      <w:bCs/>
      <w:kern w:val="44"/>
      <w:sz w:val="36"/>
      <w:szCs w:val="48"/>
    </w:rPr>
  </w:style>
  <w:style w:type="paragraph" w:styleId="2">
    <w:name w:val="heading 2"/>
    <w:basedOn w:val="a"/>
    <w:next w:val="a"/>
    <w:semiHidden/>
    <w:unhideWhenUsed/>
    <w:qFormat/>
    <w:pPr>
      <w:keepNext/>
      <w:keepLines/>
      <w:adjustRightInd w:val="0"/>
      <w:snapToGrid w:val="0"/>
      <w:spacing w:line="360" w:lineRule="auto"/>
      <w:ind w:firstLineChars="200" w:firstLine="640"/>
      <w:jc w:val="left"/>
      <w:outlineLvl w:val="1"/>
    </w:pPr>
    <w:rPr>
      <w:rFonts w:ascii="Arial" w:eastAsia="黑体" w:hAnsi="Arial"/>
      <w:sz w:val="32"/>
    </w:rPr>
  </w:style>
  <w:style w:type="paragraph" w:styleId="3">
    <w:name w:val="heading 3"/>
    <w:basedOn w:val="a"/>
    <w:next w:val="a"/>
    <w:semiHidden/>
    <w:unhideWhenUsed/>
    <w:qFormat/>
    <w:pPr>
      <w:adjustRightInd w:val="0"/>
      <w:snapToGrid w:val="0"/>
      <w:spacing w:line="360" w:lineRule="auto"/>
      <w:ind w:firstLineChars="200" w:firstLine="640"/>
      <w:jc w:val="left"/>
      <w:outlineLvl w:val="2"/>
    </w:pPr>
    <w:rPr>
      <w:rFonts w:ascii="宋体" w:eastAsia="楷体_GB2312" w:hAnsi="宋体" w:cs="Times New Roman" w:hint="eastAsia"/>
      <w:b/>
      <w:bCs/>
      <w:kern w:val="0"/>
      <w:sz w:val="32"/>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qFormat/>
    <w:pPr>
      <w:spacing w:after="120"/>
    </w:p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568</Words>
  <Characters>3239</Characters>
  <Application>Microsoft Office Word</Application>
  <DocSecurity>0</DocSecurity>
  <Lines>26</Lines>
  <Paragraphs>7</Paragraphs>
  <ScaleCrop>false</ScaleCrop>
  <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陈冀然</dc:creator>
  <cp:lastModifiedBy>子岩</cp:lastModifiedBy>
  <cp:revision>2</cp:revision>
  <cp:lastPrinted>2025-04-15T01:00:00Z</cp:lastPrinted>
  <dcterms:created xsi:type="dcterms:W3CDTF">2025-02-24T10:17:00Z</dcterms:created>
  <dcterms:modified xsi:type="dcterms:W3CDTF">2025-04-28T03:49:00Z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3A7AE92626B141EF9F725C6D6A765DE2</vt:lpwstr>
  </property>
  <property fmtid="{D5CDD505-2E9C-101B-9397-08002B2CF9AE}" pid="4" name="KSOTemplateDocerSaveRecord">
    <vt:lpwstr>eyJoZGlkIjoiYWEwZDI0ODAxODY5MzM4ZjBlMzc2OGZkZTYzMzNhMjEiLCJ1c2VySWQiOiIxMTYxNDkwMzg5In0=</vt:lpwstr>
  </property>
</Properties>
</file>