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D68" w:rsidRPr="00241CAE" w:rsidRDefault="00396D68" w:rsidP="00C2119F">
      <w:pPr>
        <w:widowControl/>
        <w:shd w:val="clear" w:color="auto" w:fill="FFFFFF"/>
        <w:adjustRightInd w:val="0"/>
        <w:snapToGrid w:val="0"/>
        <w:spacing w:line="500" w:lineRule="exact"/>
        <w:rPr>
          <w:rFonts w:eastAsia="仿宋_GB2312"/>
          <w:color w:val="000000"/>
          <w:kern w:val="0"/>
          <w:sz w:val="28"/>
          <w:szCs w:val="28"/>
        </w:rPr>
      </w:pPr>
      <w:r w:rsidRPr="00241CAE">
        <w:rPr>
          <w:rFonts w:eastAsia="仿宋_GB2312"/>
          <w:color w:val="000000"/>
          <w:kern w:val="0"/>
          <w:sz w:val="28"/>
          <w:szCs w:val="28"/>
        </w:rPr>
        <w:t>附件</w:t>
      </w:r>
      <w:r w:rsidRPr="00241CAE">
        <w:rPr>
          <w:rFonts w:eastAsia="仿宋_GB2312"/>
          <w:color w:val="000000"/>
          <w:kern w:val="0"/>
          <w:sz w:val="28"/>
          <w:szCs w:val="28"/>
        </w:rPr>
        <w:t>1</w:t>
      </w:r>
    </w:p>
    <w:p w:rsidR="00396D68" w:rsidRPr="00241CAE" w:rsidRDefault="00396D68" w:rsidP="00C2119F">
      <w:pPr>
        <w:spacing w:line="520" w:lineRule="exact"/>
        <w:jc w:val="center"/>
        <w:rPr>
          <w:rFonts w:eastAsia="华文中宋"/>
          <w:b/>
          <w:bCs/>
          <w:sz w:val="36"/>
          <w:szCs w:val="36"/>
        </w:rPr>
      </w:pPr>
      <w:r w:rsidRPr="00241CAE">
        <w:rPr>
          <w:rFonts w:eastAsia="华文中宋"/>
          <w:b/>
          <w:bCs/>
          <w:sz w:val="36"/>
          <w:szCs w:val="36"/>
        </w:rPr>
        <w:t>201</w:t>
      </w:r>
      <w:r>
        <w:rPr>
          <w:rFonts w:eastAsia="华文中宋"/>
          <w:b/>
          <w:bCs/>
          <w:sz w:val="36"/>
          <w:szCs w:val="36"/>
        </w:rPr>
        <w:t>9</w:t>
      </w:r>
      <w:r w:rsidRPr="00241CAE">
        <w:rPr>
          <w:rFonts w:eastAsia="华文中宋"/>
          <w:b/>
          <w:bCs/>
          <w:sz w:val="36"/>
          <w:szCs w:val="36"/>
        </w:rPr>
        <w:t>年度</w:t>
      </w:r>
      <w:r w:rsidRPr="00241CAE">
        <w:rPr>
          <w:rFonts w:eastAsia="华文中宋"/>
          <w:b/>
          <w:bCs/>
          <w:sz w:val="36"/>
          <w:szCs w:val="36"/>
        </w:rPr>
        <w:t>“</w:t>
      </w:r>
      <w:r>
        <w:rPr>
          <w:rFonts w:eastAsia="华文中宋" w:hint="eastAsia"/>
          <w:b/>
          <w:bCs/>
          <w:sz w:val="36"/>
          <w:szCs w:val="36"/>
        </w:rPr>
        <w:t>两个服务</w:t>
      </w:r>
      <w:r w:rsidRPr="00241CAE">
        <w:rPr>
          <w:rFonts w:eastAsia="华文中宋"/>
          <w:b/>
          <w:bCs/>
          <w:sz w:val="36"/>
          <w:szCs w:val="36"/>
        </w:rPr>
        <w:t>行动计划</w:t>
      </w:r>
      <w:r w:rsidRPr="00241CAE">
        <w:rPr>
          <w:rFonts w:eastAsia="华文中宋"/>
          <w:b/>
          <w:bCs/>
          <w:sz w:val="36"/>
          <w:szCs w:val="36"/>
        </w:rPr>
        <w:t>”</w:t>
      </w:r>
      <w:r w:rsidRPr="00241CAE">
        <w:rPr>
          <w:rFonts w:eastAsia="华文中宋"/>
          <w:b/>
          <w:bCs/>
          <w:sz w:val="36"/>
          <w:szCs w:val="36"/>
        </w:rPr>
        <w:t>课题招标指南</w:t>
      </w:r>
    </w:p>
    <w:p w:rsidR="00396D68" w:rsidRDefault="00396D68" w:rsidP="00C2119F">
      <w:pPr>
        <w:widowControl/>
        <w:spacing w:beforeLines="50" w:before="156" w:line="360" w:lineRule="auto"/>
        <w:ind w:firstLineChars="200" w:firstLine="643"/>
        <w:jc w:val="left"/>
        <w:rPr>
          <w:b/>
          <w:bCs/>
          <w:kern w:val="0"/>
          <w:sz w:val="32"/>
          <w:szCs w:val="32"/>
        </w:rPr>
      </w:pPr>
      <w:r>
        <w:rPr>
          <w:rFonts w:hint="eastAsia"/>
          <w:b/>
          <w:bCs/>
          <w:kern w:val="0"/>
          <w:sz w:val="32"/>
          <w:szCs w:val="32"/>
        </w:rPr>
        <w:t>一</w:t>
      </w:r>
      <w:r>
        <w:rPr>
          <w:b/>
          <w:bCs/>
          <w:kern w:val="0"/>
          <w:sz w:val="32"/>
          <w:szCs w:val="32"/>
        </w:rPr>
        <w:t>、服务财税行动计划</w:t>
      </w:r>
    </w:p>
    <w:p w:rsidR="00396D68" w:rsidRPr="00781CF5" w:rsidRDefault="00396D68" w:rsidP="00C2119F">
      <w:pPr>
        <w:widowControl/>
        <w:shd w:val="clear" w:color="auto" w:fill="FFFFFF"/>
        <w:spacing w:line="600" w:lineRule="exact"/>
        <w:ind w:firstLineChars="200" w:firstLine="560"/>
        <w:rPr>
          <w:rFonts w:eastAsia="黑体"/>
          <w:sz w:val="28"/>
          <w:szCs w:val="32"/>
        </w:rPr>
      </w:pPr>
      <w:bookmarkStart w:id="0" w:name="_Toc2958100"/>
      <w:r>
        <w:rPr>
          <w:rFonts w:eastAsia="黑体" w:hint="eastAsia"/>
          <w:sz w:val="28"/>
          <w:szCs w:val="32"/>
        </w:rPr>
        <w:t>课题一</w:t>
      </w:r>
      <w:r>
        <w:rPr>
          <w:rFonts w:eastAsia="黑体"/>
          <w:sz w:val="28"/>
          <w:szCs w:val="32"/>
        </w:rPr>
        <w:t>、</w:t>
      </w:r>
      <w:r w:rsidRPr="00781CF5">
        <w:rPr>
          <w:rFonts w:eastAsia="黑体"/>
          <w:sz w:val="28"/>
          <w:szCs w:val="32"/>
        </w:rPr>
        <w:t>我国供给侧结构性改革的成效、问题和建议</w:t>
      </w:r>
      <w:bookmarkEnd w:id="0"/>
    </w:p>
    <w:p w:rsidR="00396D68" w:rsidRPr="00CC6812" w:rsidRDefault="00396D68" w:rsidP="00C2119F">
      <w:pPr>
        <w:spacing w:line="360" w:lineRule="auto"/>
        <w:ind w:firstLineChars="200" w:firstLine="560"/>
        <w:rPr>
          <w:rFonts w:ascii="仿宋" w:eastAsia="仿宋" w:hAnsi="仿宋"/>
          <w:color w:val="000000" w:themeColor="text1"/>
          <w:sz w:val="28"/>
          <w:szCs w:val="28"/>
        </w:rPr>
      </w:pPr>
      <w:r w:rsidRPr="00CC6812">
        <w:rPr>
          <w:rFonts w:ascii="仿宋" w:eastAsia="仿宋" w:hAnsi="仿宋"/>
          <w:color w:val="000000" w:themeColor="text1"/>
          <w:sz w:val="28"/>
          <w:szCs w:val="28"/>
        </w:rPr>
        <w:t>供给侧结构性改革自提出并实施已近三年，我国政府围绕“去产能、去库存、去杠杆、降成本、补短板”五</w:t>
      </w:r>
      <w:bookmarkStart w:id="1" w:name="_GoBack"/>
      <w:bookmarkEnd w:id="1"/>
      <w:r w:rsidRPr="00CC6812">
        <w:rPr>
          <w:rFonts w:ascii="仿宋" w:eastAsia="仿宋" w:hAnsi="仿宋"/>
          <w:color w:val="000000" w:themeColor="text1"/>
          <w:sz w:val="28"/>
          <w:szCs w:val="28"/>
        </w:rPr>
        <w:t>大任务采取一系列措施，旨在化解过剩产能，帮助降低企业去库存、降杠杆和减成本，并进一步提升企业竞争力。那么，三年来我国供给侧结构性改革的实施成效如何？相关举措在实施过程中是否存在问题？今后如何进一步推进供给侧结构性改革？上述等问题对我国今后供给</w:t>
      </w:r>
      <w:proofErr w:type="gramStart"/>
      <w:r w:rsidRPr="00CC6812">
        <w:rPr>
          <w:rFonts w:ascii="仿宋" w:eastAsia="仿宋" w:hAnsi="仿宋"/>
          <w:color w:val="000000" w:themeColor="text1"/>
          <w:sz w:val="28"/>
          <w:szCs w:val="28"/>
        </w:rPr>
        <w:t>侧改革</w:t>
      </w:r>
      <w:proofErr w:type="gramEnd"/>
      <w:r w:rsidRPr="00CC6812">
        <w:rPr>
          <w:rFonts w:ascii="仿宋" w:eastAsia="仿宋" w:hAnsi="仿宋"/>
          <w:color w:val="000000" w:themeColor="text1"/>
          <w:sz w:val="28"/>
          <w:szCs w:val="28"/>
        </w:rPr>
        <w:t>的实施具有现实意义。</w:t>
      </w:r>
    </w:p>
    <w:p w:rsidR="00396D68" w:rsidRPr="00CC6812" w:rsidRDefault="00396D68" w:rsidP="00C2119F">
      <w:pPr>
        <w:spacing w:line="360" w:lineRule="auto"/>
        <w:ind w:firstLineChars="200" w:firstLine="560"/>
        <w:rPr>
          <w:rFonts w:ascii="仿宋" w:eastAsia="仿宋" w:hAnsi="仿宋"/>
          <w:color w:val="000000" w:themeColor="text1"/>
          <w:sz w:val="28"/>
          <w:szCs w:val="28"/>
        </w:rPr>
      </w:pPr>
      <w:r w:rsidRPr="00CC6812">
        <w:rPr>
          <w:rFonts w:ascii="仿宋" w:eastAsia="仿宋" w:hAnsi="仿宋"/>
          <w:color w:val="000000" w:themeColor="text1"/>
          <w:sz w:val="28"/>
          <w:szCs w:val="28"/>
        </w:rPr>
        <w:t>本研究将围绕供给侧结构性改革五大任务，对改革实施以来我国企业的库存、杠杆和成本水平进行测算，了解相关举措对企业库存、杠杆和成本等的影响，从经验上认识我国供给</w:t>
      </w:r>
      <w:proofErr w:type="gramStart"/>
      <w:r w:rsidRPr="00CC6812">
        <w:rPr>
          <w:rFonts w:ascii="仿宋" w:eastAsia="仿宋" w:hAnsi="仿宋"/>
          <w:color w:val="000000" w:themeColor="text1"/>
          <w:sz w:val="28"/>
          <w:szCs w:val="28"/>
        </w:rPr>
        <w:t>侧结构</w:t>
      </w:r>
      <w:proofErr w:type="gramEnd"/>
      <w:r w:rsidRPr="00CC6812">
        <w:rPr>
          <w:rFonts w:ascii="仿宋" w:eastAsia="仿宋" w:hAnsi="仿宋"/>
          <w:color w:val="000000" w:themeColor="text1"/>
          <w:sz w:val="28"/>
          <w:szCs w:val="28"/>
        </w:rPr>
        <w:t>改革的成效及存在的不足，为下一步供给侧结构性改革的推进提出政策建议。</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360" w:lineRule="auto"/>
        <w:ind w:firstLineChars="200" w:firstLine="560"/>
        <w:rPr>
          <w:color w:val="000000" w:themeColor="text1"/>
          <w:sz w:val="28"/>
          <w:szCs w:val="28"/>
        </w:rPr>
      </w:pPr>
    </w:p>
    <w:p w:rsidR="00396D68" w:rsidRPr="00781CF5" w:rsidRDefault="00396D68" w:rsidP="00C2119F">
      <w:pPr>
        <w:widowControl/>
        <w:shd w:val="clear" w:color="auto" w:fill="FFFFFF"/>
        <w:spacing w:line="600" w:lineRule="exact"/>
        <w:ind w:firstLineChars="200" w:firstLine="560"/>
        <w:rPr>
          <w:rFonts w:eastAsia="黑体"/>
          <w:sz w:val="28"/>
          <w:szCs w:val="32"/>
        </w:rPr>
      </w:pPr>
      <w:bookmarkStart w:id="2" w:name="_Toc2958101"/>
      <w:r>
        <w:rPr>
          <w:rFonts w:eastAsia="黑体" w:hint="eastAsia"/>
          <w:sz w:val="28"/>
          <w:szCs w:val="32"/>
        </w:rPr>
        <w:t>课题二</w:t>
      </w:r>
      <w:r>
        <w:rPr>
          <w:rFonts w:eastAsia="黑体"/>
          <w:sz w:val="28"/>
          <w:szCs w:val="32"/>
        </w:rPr>
        <w:t>、</w:t>
      </w:r>
      <w:r w:rsidRPr="00781CF5">
        <w:rPr>
          <w:rFonts w:eastAsia="黑体"/>
          <w:sz w:val="28"/>
          <w:szCs w:val="32"/>
        </w:rPr>
        <w:t>中等收入条件下的中性环境税收政策体系构建研究</w:t>
      </w:r>
      <w:bookmarkEnd w:id="2"/>
    </w:p>
    <w:p w:rsidR="00396D68" w:rsidRPr="00CC6812" w:rsidRDefault="00396D68" w:rsidP="00C2119F">
      <w:pPr>
        <w:spacing w:line="360" w:lineRule="auto"/>
        <w:ind w:firstLine="480"/>
        <w:rPr>
          <w:rFonts w:ascii="仿宋" w:eastAsia="仿宋" w:hAnsi="仿宋"/>
          <w:color w:val="000000" w:themeColor="text1"/>
          <w:sz w:val="28"/>
          <w:szCs w:val="28"/>
        </w:rPr>
      </w:pPr>
      <w:r w:rsidRPr="00CC6812">
        <w:rPr>
          <w:rFonts w:ascii="仿宋" w:eastAsia="仿宋" w:hAnsi="仿宋"/>
          <w:color w:val="000000" w:themeColor="text1"/>
          <w:sz w:val="28"/>
          <w:szCs w:val="28"/>
        </w:rPr>
        <w:t>2018年召开的全国税务工作会议中强调我国的“资源税从价计征改革全面推开，水资源税改革试点成功并有序扩围，环保税顺利开征，积极参与国际税收改革”。环境税改革被认为是实现减排目标的</w:t>
      </w:r>
      <w:r w:rsidRPr="00CC6812">
        <w:rPr>
          <w:rFonts w:ascii="仿宋" w:eastAsia="仿宋" w:hAnsi="仿宋"/>
          <w:color w:val="000000" w:themeColor="text1"/>
          <w:sz w:val="28"/>
          <w:szCs w:val="28"/>
        </w:rPr>
        <w:lastRenderedPageBreak/>
        <w:t>有效方案，但对于我国才刚刚起步的环境税改革而言却面临着复杂的挑战，尤其在经济转型调整的关键时期，亟待构建与完善环境税的相关政策体系。</w:t>
      </w:r>
    </w:p>
    <w:p w:rsidR="00396D68" w:rsidRPr="00CC6812" w:rsidRDefault="00396D68" w:rsidP="00C2119F">
      <w:pPr>
        <w:spacing w:line="360" w:lineRule="auto"/>
        <w:ind w:firstLine="480"/>
        <w:rPr>
          <w:rFonts w:ascii="仿宋" w:eastAsia="仿宋" w:hAnsi="仿宋"/>
          <w:color w:val="000000" w:themeColor="text1"/>
          <w:sz w:val="28"/>
          <w:szCs w:val="28"/>
        </w:rPr>
      </w:pPr>
      <w:r w:rsidRPr="00CC6812">
        <w:rPr>
          <w:rFonts w:ascii="仿宋" w:eastAsia="仿宋" w:hAnsi="仿宋"/>
          <w:color w:val="000000" w:themeColor="text1"/>
          <w:sz w:val="28"/>
          <w:szCs w:val="28"/>
        </w:rPr>
        <w:t>本研究将结合能源与环境经济学、税收理论、系统工程及可持续增长的理论、方法和技术，从我国中等收入的国情出发，以“中性收入环境税制”的视角，通过对环境税改革的具体政策设计和可能的现实反馈的分析，构建我国环境税收的科学路径，并形成相应的对策建议。</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360" w:lineRule="auto"/>
        <w:ind w:firstLineChars="200" w:firstLine="560"/>
        <w:rPr>
          <w:color w:val="000000" w:themeColor="text1"/>
          <w:sz w:val="28"/>
          <w:szCs w:val="28"/>
        </w:rPr>
      </w:pPr>
    </w:p>
    <w:p w:rsidR="00396D68" w:rsidRPr="00781CF5" w:rsidRDefault="00396D68" w:rsidP="00C2119F">
      <w:pPr>
        <w:widowControl/>
        <w:shd w:val="clear" w:color="auto" w:fill="FFFFFF"/>
        <w:spacing w:line="600" w:lineRule="exact"/>
        <w:ind w:firstLineChars="200" w:firstLine="560"/>
        <w:rPr>
          <w:rFonts w:eastAsia="黑体"/>
          <w:sz w:val="28"/>
          <w:szCs w:val="32"/>
        </w:rPr>
      </w:pPr>
      <w:bookmarkStart w:id="3" w:name="_Toc2958102"/>
      <w:r>
        <w:rPr>
          <w:rFonts w:eastAsia="黑体" w:hint="eastAsia"/>
          <w:sz w:val="28"/>
          <w:szCs w:val="32"/>
        </w:rPr>
        <w:t>课题</w:t>
      </w:r>
      <w:r>
        <w:rPr>
          <w:rFonts w:eastAsia="黑体"/>
          <w:sz w:val="28"/>
          <w:szCs w:val="32"/>
        </w:rPr>
        <w:t>三、</w:t>
      </w:r>
      <w:r w:rsidRPr="00781CF5">
        <w:rPr>
          <w:rFonts w:eastAsia="黑体"/>
          <w:sz w:val="28"/>
          <w:szCs w:val="32"/>
        </w:rPr>
        <w:t>新时代我国地区间财政收入分配体制重构研究</w:t>
      </w:r>
      <w:bookmarkEnd w:id="3"/>
    </w:p>
    <w:p w:rsidR="00396D68" w:rsidRPr="00CC6812" w:rsidRDefault="00396D68" w:rsidP="00C2119F">
      <w:pPr>
        <w:spacing w:line="360" w:lineRule="auto"/>
        <w:ind w:firstLineChars="200" w:firstLine="560"/>
        <w:rPr>
          <w:rFonts w:ascii="仿宋" w:eastAsia="仿宋" w:hAnsi="仿宋"/>
          <w:color w:val="000000" w:themeColor="text1"/>
          <w:sz w:val="28"/>
          <w:szCs w:val="28"/>
        </w:rPr>
      </w:pPr>
      <w:r w:rsidRPr="00CC6812">
        <w:rPr>
          <w:rFonts w:ascii="仿宋" w:eastAsia="仿宋" w:hAnsi="仿宋"/>
          <w:color w:val="000000" w:themeColor="text1"/>
          <w:sz w:val="28"/>
          <w:szCs w:val="28"/>
        </w:rPr>
        <w:t>中国经济在改革开放40年以来一直保持高速增长，2017年中国人均GDP已达9482美元，但区域间居民收入、财政能力失衡等问题依然突出。如何构建适应中国特色社会主义新时代的政府间财政收入分配关系新体制，是十八大以来中央部署的财税体制改革的核心任务之一。</w:t>
      </w:r>
    </w:p>
    <w:p w:rsidR="00396D68" w:rsidRPr="00CC6812" w:rsidRDefault="00396D68" w:rsidP="00C2119F">
      <w:pPr>
        <w:spacing w:line="360" w:lineRule="auto"/>
        <w:ind w:firstLineChars="200" w:firstLine="560"/>
        <w:rPr>
          <w:rFonts w:ascii="仿宋" w:eastAsia="仿宋" w:hAnsi="仿宋"/>
          <w:color w:val="000000" w:themeColor="text1"/>
          <w:sz w:val="28"/>
          <w:szCs w:val="28"/>
        </w:rPr>
      </w:pPr>
      <w:r w:rsidRPr="00CC6812">
        <w:rPr>
          <w:rFonts w:ascii="仿宋" w:eastAsia="仿宋" w:hAnsi="仿宋"/>
          <w:color w:val="000000" w:themeColor="text1"/>
          <w:sz w:val="28"/>
          <w:szCs w:val="28"/>
        </w:rPr>
        <w:t>本研究</w:t>
      </w:r>
      <w:r>
        <w:rPr>
          <w:rFonts w:ascii="仿宋" w:eastAsia="仿宋" w:hAnsi="仿宋" w:hint="eastAsia"/>
          <w:color w:val="000000" w:themeColor="text1"/>
          <w:sz w:val="28"/>
          <w:szCs w:val="28"/>
        </w:rPr>
        <w:t>将</w:t>
      </w:r>
      <w:r w:rsidRPr="00CC6812">
        <w:rPr>
          <w:rFonts w:ascii="仿宋" w:eastAsia="仿宋" w:hAnsi="仿宋"/>
          <w:color w:val="000000" w:themeColor="text1"/>
          <w:sz w:val="28"/>
          <w:szCs w:val="28"/>
        </w:rPr>
        <w:t>通过研究现行分税制体制、税收征管制度，进而对区域间财政收入分配影响进行深入分析。为把握和理解经济结构、税制结构与区域间税收收入分配提供一个新的理论分析视角；通过构建税制结构与经济增长、税源流动的理论分析框架，厘清三者之间的动态关联与理论逻辑，从而为我国的现代财税体制建设、地区间财政收入分</w:t>
      </w:r>
      <w:r w:rsidRPr="00CC6812">
        <w:rPr>
          <w:rFonts w:ascii="仿宋" w:eastAsia="仿宋" w:hAnsi="仿宋"/>
          <w:color w:val="000000" w:themeColor="text1"/>
          <w:sz w:val="28"/>
          <w:szCs w:val="28"/>
        </w:rPr>
        <w:lastRenderedPageBreak/>
        <w:t>配关系调整提供可行的系统化政策建议，服务于我国当前的财税体制改革需要。</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360" w:lineRule="auto"/>
        <w:ind w:firstLineChars="200" w:firstLine="560"/>
        <w:rPr>
          <w:color w:val="000000" w:themeColor="text1"/>
          <w:sz w:val="28"/>
          <w:szCs w:val="28"/>
        </w:rPr>
      </w:pPr>
    </w:p>
    <w:p w:rsidR="00396D68" w:rsidRPr="00781CF5" w:rsidRDefault="00396D68" w:rsidP="00C2119F">
      <w:pPr>
        <w:widowControl/>
        <w:shd w:val="clear" w:color="auto" w:fill="FFFFFF"/>
        <w:spacing w:line="600" w:lineRule="exact"/>
        <w:ind w:firstLineChars="200" w:firstLine="560"/>
        <w:rPr>
          <w:rFonts w:eastAsia="黑体"/>
          <w:sz w:val="28"/>
          <w:szCs w:val="32"/>
        </w:rPr>
      </w:pPr>
      <w:bookmarkStart w:id="4" w:name="_Toc2958103"/>
      <w:r>
        <w:rPr>
          <w:rFonts w:eastAsia="黑体" w:hint="eastAsia"/>
          <w:sz w:val="28"/>
          <w:szCs w:val="32"/>
        </w:rPr>
        <w:t>课题四</w:t>
      </w:r>
      <w:r>
        <w:rPr>
          <w:rFonts w:eastAsia="黑体"/>
          <w:sz w:val="28"/>
          <w:szCs w:val="32"/>
        </w:rPr>
        <w:t>、</w:t>
      </w:r>
      <w:proofErr w:type="gramStart"/>
      <w:r w:rsidRPr="00781CF5">
        <w:rPr>
          <w:rFonts w:eastAsia="黑体"/>
          <w:sz w:val="28"/>
          <w:szCs w:val="32"/>
        </w:rPr>
        <w:t>重塑央地关系</w:t>
      </w:r>
      <w:proofErr w:type="gramEnd"/>
      <w:r w:rsidRPr="00781CF5">
        <w:rPr>
          <w:rFonts w:eastAsia="黑体"/>
          <w:sz w:val="28"/>
          <w:szCs w:val="32"/>
        </w:rPr>
        <w:t>视角下的风险防范研究</w:t>
      </w:r>
      <w:bookmarkEnd w:id="4"/>
    </w:p>
    <w:p w:rsidR="00396D68" w:rsidRPr="00CC6812" w:rsidRDefault="00396D68" w:rsidP="00C2119F">
      <w:pPr>
        <w:spacing w:line="360" w:lineRule="auto"/>
        <w:ind w:firstLineChars="200" w:firstLine="560"/>
        <w:rPr>
          <w:rFonts w:ascii="仿宋" w:eastAsia="仿宋" w:hAnsi="仿宋"/>
          <w:color w:val="000000" w:themeColor="text1"/>
          <w:sz w:val="28"/>
          <w:szCs w:val="28"/>
        </w:rPr>
      </w:pPr>
      <w:r w:rsidRPr="00CC6812">
        <w:rPr>
          <w:rFonts w:ascii="仿宋" w:eastAsia="仿宋" w:hAnsi="仿宋"/>
          <w:color w:val="000000" w:themeColor="text1"/>
          <w:sz w:val="28"/>
          <w:szCs w:val="28"/>
        </w:rPr>
        <w:t>长期以来，中央高度重视防风险问题，地方债务、区域金融、房地产等都被认为是可能诱发中国区域性风险的“灰犀牛”，并且受到社会各界的高度关注。这些问题看似相互独立，但同时又密切相关，风险一旦发生，相互溢出和放大的可能性非常高，因此应纳入统一的研究视角。研究这些防风险问题，可以有很多个切入点，其中最重要的视角就是</w:t>
      </w:r>
      <w:proofErr w:type="gramStart"/>
      <w:r w:rsidRPr="00CC6812">
        <w:rPr>
          <w:rFonts w:ascii="仿宋" w:eastAsia="仿宋" w:hAnsi="仿宋"/>
          <w:color w:val="000000" w:themeColor="text1"/>
          <w:sz w:val="28"/>
          <w:szCs w:val="28"/>
        </w:rPr>
        <w:t>重塑央地关系</w:t>
      </w:r>
      <w:proofErr w:type="gramEnd"/>
      <w:r w:rsidRPr="00CC6812">
        <w:rPr>
          <w:rFonts w:ascii="仿宋" w:eastAsia="仿宋" w:hAnsi="仿宋"/>
          <w:color w:val="000000" w:themeColor="text1"/>
          <w:sz w:val="28"/>
          <w:szCs w:val="28"/>
        </w:rPr>
        <w:t>。自2013年以来，中央一直强调地方政府在防范和处置风险上的属地责任。无论是强调地方债务风险的“不救助”原则，还是组建地方金融监管部门，甚或在房地产调控方面强调地方政府负总责等等，都是中央希望压实地方政府防风险责任的举措。</w:t>
      </w:r>
    </w:p>
    <w:p w:rsidR="00396D68" w:rsidRPr="00CC6812" w:rsidRDefault="00396D68" w:rsidP="00C2119F">
      <w:pPr>
        <w:spacing w:line="360" w:lineRule="auto"/>
        <w:ind w:firstLineChars="200" w:firstLine="560"/>
        <w:rPr>
          <w:rFonts w:ascii="仿宋" w:eastAsia="仿宋" w:hAnsi="仿宋"/>
          <w:color w:val="000000" w:themeColor="text1"/>
          <w:sz w:val="28"/>
          <w:szCs w:val="28"/>
        </w:rPr>
      </w:pPr>
      <w:r w:rsidRPr="00CC6812">
        <w:rPr>
          <w:rFonts w:ascii="仿宋" w:eastAsia="仿宋" w:hAnsi="仿宋"/>
          <w:color w:val="000000" w:themeColor="text1"/>
          <w:sz w:val="28"/>
          <w:szCs w:val="28"/>
        </w:rPr>
        <w:t>本研究</w:t>
      </w:r>
      <w:r>
        <w:rPr>
          <w:rFonts w:ascii="仿宋" w:eastAsia="仿宋" w:hAnsi="仿宋" w:hint="eastAsia"/>
          <w:color w:val="000000" w:themeColor="text1"/>
          <w:sz w:val="28"/>
          <w:szCs w:val="28"/>
        </w:rPr>
        <w:t>将</w:t>
      </w:r>
      <w:r w:rsidRPr="00CC6812">
        <w:rPr>
          <w:rFonts w:ascii="仿宋" w:eastAsia="仿宋" w:hAnsi="仿宋"/>
          <w:color w:val="000000" w:themeColor="text1"/>
          <w:sz w:val="28"/>
          <w:szCs w:val="28"/>
        </w:rPr>
        <w:t>在针对地方政府在防风险上担负更多责任的前提下，对其体制改革导向中所存在的问题进行分析与研究，并提出切实可行的政策建议及其相关配套措施。</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600" w:lineRule="exact"/>
        <w:ind w:firstLineChars="200" w:firstLine="560"/>
        <w:rPr>
          <w:sz w:val="28"/>
          <w:szCs w:val="32"/>
        </w:rPr>
      </w:pPr>
    </w:p>
    <w:p w:rsidR="00396D68" w:rsidRDefault="00396D68" w:rsidP="00C2119F">
      <w:pPr>
        <w:widowControl/>
        <w:spacing w:line="360" w:lineRule="auto"/>
        <w:ind w:firstLineChars="200" w:firstLine="643"/>
        <w:jc w:val="left"/>
        <w:rPr>
          <w:b/>
          <w:bCs/>
          <w:kern w:val="0"/>
          <w:sz w:val="32"/>
          <w:szCs w:val="32"/>
        </w:rPr>
      </w:pPr>
      <w:r>
        <w:rPr>
          <w:rFonts w:hint="eastAsia"/>
          <w:b/>
          <w:bCs/>
          <w:kern w:val="0"/>
          <w:sz w:val="32"/>
          <w:szCs w:val="32"/>
        </w:rPr>
        <w:t>二</w:t>
      </w:r>
      <w:r>
        <w:rPr>
          <w:b/>
          <w:bCs/>
          <w:kern w:val="0"/>
          <w:sz w:val="32"/>
          <w:szCs w:val="32"/>
        </w:rPr>
        <w:t>、服务</w:t>
      </w:r>
      <w:r>
        <w:rPr>
          <w:rFonts w:hint="eastAsia"/>
          <w:b/>
          <w:bCs/>
          <w:kern w:val="0"/>
          <w:sz w:val="32"/>
          <w:szCs w:val="32"/>
        </w:rPr>
        <w:t>上海</w:t>
      </w:r>
      <w:r>
        <w:rPr>
          <w:b/>
          <w:bCs/>
          <w:kern w:val="0"/>
          <w:sz w:val="32"/>
          <w:szCs w:val="32"/>
        </w:rPr>
        <w:t>行动计划</w:t>
      </w: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5" w:name="_Toc3127218"/>
      <w:r>
        <w:rPr>
          <w:rFonts w:eastAsia="黑体" w:hint="eastAsia"/>
          <w:sz w:val="28"/>
          <w:szCs w:val="32"/>
        </w:rPr>
        <w:lastRenderedPageBreak/>
        <w:t>课题一</w:t>
      </w:r>
      <w:r>
        <w:rPr>
          <w:rFonts w:eastAsia="黑体"/>
          <w:sz w:val="28"/>
          <w:szCs w:val="32"/>
        </w:rPr>
        <w:t>、</w:t>
      </w:r>
      <w:r w:rsidRPr="00CC6812">
        <w:rPr>
          <w:rFonts w:eastAsia="黑体"/>
          <w:sz w:val="28"/>
          <w:szCs w:val="32"/>
        </w:rPr>
        <w:t>中国（上海）自由贸易试验区条例修订研究</w:t>
      </w:r>
      <w:bookmarkEnd w:id="5"/>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作为第一部自贸区“基本法”，《中国（上海）自由贸易试验区条例》对其他自贸区条例起着示范、引领以及可复制可推广的作用。2018年以来，上海有关部门已启动上海自贸试验区条例修订研究工作。最近，党中央把上海自贸试验区设立新片区作为交给上海的三项重要任务之一。因此，上海自贸试验区条例修订工作亟需提速。</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本研究将从《条例》现有主要制度的实施效果及改进空间、新增主要制度的可行性及条文表示等方面进行展开，形成《中国（上海）自由贸易试验区条例》（修订）的建议稿。</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360" w:lineRule="auto"/>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6" w:name="_Toc3127219"/>
      <w:r>
        <w:rPr>
          <w:rFonts w:eastAsia="黑体" w:hint="eastAsia"/>
          <w:sz w:val="28"/>
          <w:szCs w:val="32"/>
        </w:rPr>
        <w:t>课题二</w:t>
      </w:r>
      <w:r>
        <w:rPr>
          <w:rFonts w:eastAsia="黑体"/>
          <w:sz w:val="28"/>
          <w:szCs w:val="32"/>
        </w:rPr>
        <w:t>、</w:t>
      </w:r>
      <w:r w:rsidRPr="00CC6812">
        <w:rPr>
          <w:rFonts w:eastAsia="黑体"/>
          <w:sz w:val="28"/>
          <w:szCs w:val="32"/>
        </w:rPr>
        <w:t>中国（上海）自由贸易试验区跨境服务贸易开放创新研究</w:t>
      </w:r>
      <w:bookmarkEnd w:id="6"/>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2018年上海自贸试验区推出了《中国（上海）自由贸易试验区跨境服务贸易负面清单管理模式实施办法》以及《特别管理措施》（负面清单），这也是中国首个针对跨境服务贸易的负面清单，这充分体现了上海自贸试验区积极应对国际经贸格局变化，融入全球价值链的表现。然而上海在服务贸易领域依旧存在着结构失衡、多头管理和政策瓶颈、高端人才缺乏以及企业竞争力不强等问题。</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本研究将通过挖掘上海自贸试验区建设对跨境服务贸易的影响以及存在的问题，将上海自贸试验区跨境服务贸易监管体系与国际对标，探索《负面清单》实施问题，从而对上海自贸试验</w:t>
      </w:r>
      <w:r>
        <w:rPr>
          <w:rFonts w:ascii="仿宋" w:eastAsia="仿宋" w:hAnsi="仿宋"/>
          <w:sz w:val="28"/>
          <w:szCs w:val="32"/>
        </w:rPr>
        <w:t>区进一步提升</w:t>
      </w:r>
      <w:r>
        <w:rPr>
          <w:rFonts w:ascii="仿宋" w:eastAsia="仿宋" w:hAnsi="仿宋"/>
          <w:sz w:val="28"/>
          <w:szCs w:val="32"/>
        </w:rPr>
        <w:lastRenderedPageBreak/>
        <w:t>跨境服务贸易给出优化策略</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600" w:lineRule="exact"/>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7" w:name="_Toc3127222"/>
      <w:r>
        <w:rPr>
          <w:rFonts w:eastAsia="黑体" w:hint="eastAsia"/>
          <w:sz w:val="28"/>
          <w:szCs w:val="32"/>
        </w:rPr>
        <w:t>课题三</w:t>
      </w:r>
      <w:r>
        <w:rPr>
          <w:rFonts w:eastAsia="黑体"/>
          <w:sz w:val="28"/>
          <w:szCs w:val="32"/>
        </w:rPr>
        <w:t>、</w:t>
      </w:r>
      <w:r w:rsidRPr="00CC6812">
        <w:rPr>
          <w:rFonts w:eastAsia="黑体"/>
          <w:sz w:val="28"/>
          <w:szCs w:val="32"/>
        </w:rPr>
        <w:t>长三角一体化发展国家战略与上海卓越全球城市建设</w:t>
      </w:r>
      <w:bookmarkEnd w:id="7"/>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2018年，党中央已将支持长江三角洲区域一体化发展上升为国家战略。这为上海全球城市建设及长三角世界级城市群提供了良好的契机。</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本研究将通过实地调研和事实分析相结合的手段</w:t>
      </w:r>
      <w:proofErr w:type="gramStart"/>
      <w:r w:rsidRPr="00CC6812">
        <w:rPr>
          <w:rFonts w:ascii="仿宋" w:eastAsia="仿宋" w:hAnsi="仿宋"/>
          <w:sz w:val="28"/>
          <w:szCs w:val="32"/>
        </w:rPr>
        <w:t>探讨长三角区域交通</w:t>
      </w:r>
      <w:proofErr w:type="gramEnd"/>
      <w:r w:rsidRPr="00CC6812">
        <w:rPr>
          <w:rFonts w:ascii="仿宋" w:eastAsia="仿宋" w:hAnsi="仿宋"/>
          <w:sz w:val="28"/>
          <w:szCs w:val="32"/>
        </w:rPr>
        <w:t>一体化、产业一体化、创新一体化、空间一体化和区域协调机制方面面临的问题和挑战，将长三角地区放在全国范围的城市群中进行横向对比，借鉴国内外城市群一体化的经验，采用定性与定量相结合的方法对长三角区域一体化进行深入分析，为将长三角地区建设成为具有全球竞争力的世界级城市群提供理论和政策实践支撑。</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600" w:lineRule="exact"/>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8" w:name="_Toc3127226"/>
      <w:r>
        <w:rPr>
          <w:rFonts w:eastAsia="黑体" w:hint="eastAsia"/>
          <w:sz w:val="28"/>
          <w:szCs w:val="32"/>
        </w:rPr>
        <w:t>课题四</w:t>
      </w:r>
      <w:r>
        <w:rPr>
          <w:rFonts w:eastAsia="黑体"/>
          <w:sz w:val="28"/>
          <w:szCs w:val="32"/>
        </w:rPr>
        <w:t>、</w:t>
      </w:r>
      <w:r w:rsidRPr="00CC6812">
        <w:rPr>
          <w:rFonts w:eastAsia="黑体"/>
          <w:sz w:val="28"/>
          <w:szCs w:val="32"/>
        </w:rPr>
        <w:t>金融科技促进上海全球资源配置和科技企业的创新能力</w:t>
      </w:r>
      <w:bookmarkEnd w:id="8"/>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经党中央、国务院同意，中国证监会于2019年1月30日发布了《关于在上海证券交易所设立科创板并试点注册制的实施意见》，</w:t>
      </w:r>
      <w:proofErr w:type="gramStart"/>
      <w:r w:rsidRPr="00CC6812">
        <w:rPr>
          <w:rFonts w:ascii="仿宋" w:eastAsia="仿宋" w:hAnsi="仿宋"/>
          <w:sz w:val="28"/>
          <w:szCs w:val="32"/>
        </w:rPr>
        <w:t>科创板</w:t>
      </w:r>
      <w:proofErr w:type="gramEnd"/>
      <w:r w:rsidRPr="00CC6812">
        <w:rPr>
          <w:rFonts w:ascii="仿宋" w:eastAsia="仿宋" w:hAnsi="仿宋"/>
          <w:sz w:val="28"/>
          <w:szCs w:val="32"/>
        </w:rPr>
        <w:t>的提出为资本市场带来了新的期待。为了避免注册制不完善引起的</w:t>
      </w:r>
      <w:proofErr w:type="gramStart"/>
      <w:r w:rsidRPr="00CC6812">
        <w:rPr>
          <w:rFonts w:ascii="仿宋" w:eastAsia="仿宋" w:hAnsi="仿宋"/>
          <w:sz w:val="28"/>
          <w:szCs w:val="32"/>
        </w:rPr>
        <w:t>造假股</w:t>
      </w:r>
      <w:proofErr w:type="gramEnd"/>
      <w:r w:rsidRPr="00CC6812">
        <w:rPr>
          <w:rFonts w:ascii="仿宋" w:eastAsia="仿宋" w:hAnsi="仿宋"/>
          <w:sz w:val="28"/>
          <w:szCs w:val="32"/>
        </w:rPr>
        <w:t>等现象，必须规范化、科学化</w:t>
      </w:r>
      <w:proofErr w:type="gramStart"/>
      <w:r w:rsidRPr="00CC6812">
        <w:rPr>
          <w:rFonts w:ascii="仿宋" w:eastAsia="仿宋" w:hAnsi="仿宋"/>
          <w:sz w:val="28"/>
          <w:szCs w:val="32"/>
        </w:rPr>
        <w:t>科创板</w:t>
      </w:r>
      <w:proofErr w:type="gramEnd"/>
      <w:r w:rsidRPr="00CC6812">
        <w:rPr>
          <w:rFonts w:ascii="仿宋" w:eastAsia="仿宋" w:hAnsi="仿宋"/>
          <w:sz w:val="28"/>
          <w:szCs w:val="32"/>
        </w:rPr>
        <w:t>股权投资记录数据结构体系，建立与之相适应的登记体系以适应新的需要，充分</w:t>
      </w:r>
      <w:proofErr w:type="gramStart"/>
      <w:r w:rsidRPr="00CC6812">
        <w:rPr>
          <w:rFonts w:ascii="仿宋" w:eastAsia="仿宋" w:hAnsi="仿宋"/>
          <w:sz w:val="28"/>
          <w:szCs w:val="32"/>
        </w:rPr>
        <w:t>完善科创板</w:t>
      </w:r>
      <w:r w:rsidRPr="00CC6812">
        <w:rPr>
          <w:rFonts w:ascii="仿宋" w:eastAsia="仿宋" w:hAnsi="仿宋"/>
          <w:sz w:val="28"/>
          <w:szCs w:val="32"/>
        </w:rPr>
        <w:lastRenderedPageBreak/>
        <w:t>企业</w:t>
      </w:r>
      <w:proofErr w:type="gramEnd"/>
      <w:r w:rsidRPr="00CC6812">
        <w:rPr>
          <w:rFonts w:ascii="仿宋" w:eastAsia="仿宋" w:hAnsi="仿宋"/>
          <w:sz w:val="28"/>
          <w:szCs w:val="32"/>
        </w:rPr>
        <w:t>的信息披露与事后控制体系。</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本研究将对上海</w:t>
      </w:r>
      <w:proofErr w:type="gramStart"/>
      <w:r w:rsidRPr="00CC6812">
        <w:rPr>
          <w:rFonts w:ascii="仿宋" w:eastAsia="仿宋" w:hAnsi="仿宋"/>
          <w:sz w:val="28"/>
          <w:szCs w:val="32"/>
        </w:rPr>
        <w:t>科创板</w:t>
      </w:r>
      <w:proofErr w:type="gramEnd"/>
      <w:r w:rsidRPr="00CC6812">
        <w:rPr>
          <w:rFonts w:ascii="仿宋" w:eastAsia="仿宋" w:hAnsi="仿宋"/>
          <w:sz w:val="28"/>
          <w:szCs w:val="32"/>
        </w:rPr>
        <w:t>股权投资记录数据结构进行研究，为上海科技创新企业融资制度提出改革建议。</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600" w:lineRule="exact"/>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9" w:name="_Toc3127228"/>
      <w:r>
        <w:rPr>
          <w:rFonts w:eastAsia="黑体" w:hint="eastAsia"/>
          <w:sz w:val="28"/>
          <w:szCs w:val="32"/>
        </w:rPr>
        <w:t>课题五</w:t>
      </w:r>
      <w:r>
        <w:rPr>
          <w:rFonts w:eastAsia="黑体"/>
          <w:sz w:val="28"/>
          <w:szCs w:val="32"/>
        </w:rPr>
        <w:t>、</w:t>
      </w:r>
      <w:r w:rsidRPr="00CC6812">
        <w:rPr>
          <w:rFonts w:eastAsia="黑体"/>
          <w:sz w:val="28"/>
          <w:szCs w:val="32"/>
        </w:rPr>
        <w:t>上海利用</w:t>
      </w:r>
      <w:r w:rsidRPr="00CC6812">
        <w:rPr>
          <w:rFonts w:eastAsia="黑体"/>
          <w:sz w:val="28"/>
          <w:szCs w:val="32"/>
        </w:rPr>
        <w:t>“</w:t>
      </w:r>
      <w:r w:rsidRPr="00CC6812">
        <w:rPr>
          <w:rFonts w:eastAsia="黑体"/>
          <w:sz w:val="28"/>
          <w:szCs w:val="32"/>
        </w:rPr>
        <w:t>进博会</w:t>
      </w:r>
      <w:r w:rsidRPr="00CC6812">
        <w:rPr>
          <w:rFonts w:eastAsia="黑体"/>
          <w:sz w:val="28"/>
          <w:szCs w:val="32"/>
        </w:rPr>
        <w:t>”</w:t>
      </w:r>
      <w:r w:rsidRPr="00CC6812">
        <w:rPr>
          <w:rFonts w:eastAsia="黑体"/>
          <w:sz w:val="28"/>
          <w:szCs w:val="32"/>
        </w:rPr>
        <w:t>让人民币国际化功能再上台阶</w:t>
      </w:r>
      <w:bookmarkEnd w:id="9"/>
    </w:p>
    <w:p w:rsidR="00396D68" w:rsidRPr="00CC6812" w:rsidRDefault="00396D68" w:rsidP="00C2119F">
      <w:pPr>
        <w:spacing w:line="600" w:lineRule="exact"/>
        <w:ind w:firstLineChars="200" w:firstLine="560"/>
        <w:rPr>
          <w:rFonts w:ascii="仿宋" w:eastAsia="仿宋" w:hAnsi="仿宋"/>
          <w:color w:val="000000" w:themeColor="text1"/>
          <w:sz w:val="28"/>
          <w:szCs w:val="32"/>
        </w:rPr>
      </w:pPr>
      <w:r w:rsidRPr="00CC6812">
        <w:rPr>
          <w:rFonts w:ascii="仿宋" w:eastAsia="仿宋" w:hAnsi="仿宋"/>
          <w:color w:val="000000" w:themeColor="text1"/>
          <w:sz w:val="28"/>
          <w:szCs w:val="32"/>
        </w:rPr>
        <w:t>中国国际进口博览会是迄今为止世界上第一个以进口为主题的国家级展会，是国际贸易发展史上一大创举。中国国际进口博览会也是中国通</w:t>
      </w:r>
      <w:proofErr w:type="gramStart"/>
      <w:r w:rsidRPr="00CC6812">
        <w:rPr>
          <w:rFonts w:ascii="仿宋" w:eastAsia="仿宋" w:hAnsi="仿宋"/>
          <w:color w:val="000000" w:themeColor="text1"/>
          <w:sz w:val="28"/>
          <w:szCs w:val="32"/>
        </w:rPr>
        <w:t>过支付</w:t>
      </w:r>
      <w:proofErr w:type="gramEnd"/>
      <w:r w:rsidRPr="00CC6812">
        <w:rPr>
          <w:rFonts w:ascii="仿宋" w:eastAsia="仿宋" w:hAnsi="仿宋"/>
          <w:color w:val="000000" w:themeColor="text1"/>
          <w:sz w:val="28"/>
          <w:szCs w:val="32"/>
        </w:rPr>
        <w:t>人民币获取“创造财富的能力”模式</w:t>
      </w:r>
      <w:r w:rsidRPr="00CC6812">
        <w:rPr>
          <w:rFonts w:ascii="仿宋" w:eastAsia="仿宋" w:hAnsi="仿宋" w:hint="eastAsia"/>
          <w:color w:val="000000" w:themeColor="text1"/>
          <w:sz w:val="28"/>
          <w:szCs w:val="32"/>
        </w:rPr>
        <w:t>。</w:t>
      </w:r>
    </w:p>
    <w:p w:rsidR="00396D68" w:rsidRPr="00CC6812" w:rsidRDefault="00396D68" w:rsidP="00C2119F">
      <w:pPr>
        <w:spacing w:line="600" w:lineRule="exact"/>
        <w:ind w:firstLineChars="200" w:firstLine="560"/>
        <w:rPr>
          <w:rFonts w:ascii="仿宋" w:eastAsia="仿宋" w:hAnsi="仿宋"/>
          <w:color w:val="000000" w:themeColor="text1"/>
          <w:sz w:val="28"/>
          <w:szCs w:val="32"/>
        </w:rPr>
      </w:pPr>
      <w:r w:rsidRPr="00CC6812">
        <w:rPr>
          <w:rFonts w:ascii="仿宋" w:eastAsia="仿宋" w:hAnsi="仿宋"/>
          <w:color w:val="000000" w:themeColor="text1"/>
          <w:sz w:val="28"/>
          <w:szCs w:val="32"/>
        </w:rPr>
        <w:t>本研究将从开立人民币账户入手，从“进博会”参展方的结构数据标准化、自贸区账户可能的功能扩展和完善、参展商供应链融资与自贸区账户的对接、推进“负债型”人民币国际化可持续等方面深入研究，以充分利用上海与人民币国际地位相适应的国际金融中心地位优势，借“进博会”的东风，继续强化上海国际消费、创新产业和金融中心地位。</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600" w:lineRule="exact"/>
        <w:ind w:firstLineChars="200" w:firstLine="560"/>
        <w:rPr>
          <w:color w:val="000000" w:themeColor="text1"/>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10" w:name="_Toc3127229"/>
      <w:r>
        <w:rPr>
          <w:rFonts w:eastAsia="黑体" w:hint="eastAsia"/>
          <w:sz w:val="28"/>
          <w:szCs w:val="32"/>
        </w:rPr>
        <w:t>课题六</w:t>
      </w:r>
      <w:r>
        <w:rPr>
          <w:rFonts w:eastAsia="黑体"/>
          <w:sz w:val="28"/>
          <w:szCs w:val="32"/>
        </w:rPr>
        <w:t>、</w:t>
      </w:r>
      <w:r w:rsidRPr="00CC6812">
        <w:rPr>
          <w:rFonts w:eastAsia="黑体"/>
          <w:sz w:val="28"/>
          <w:szCs w:val="32"/>
        </w:rPr>
        <w:t>对接</w:t>
      </w:r>
      <w:r w:rsidRPr="00CC6812">
        <w:rPr>
          <w:rFonts w:eastAsia="黑体"/>
          <w:sz w:val="28"/>
          <w:szCs w:val="32"/>
        </w:rPr>
        <w:t>“</w:t>
      </w:r>
      <w:r w:rsidRPr="00CC6812">
        <w:rPr>
          <w:rFonts w:eastAsia="黑体"/>
          <w:sz w:val="28"/>
          <w:szCs w:val="32"/>
        </w:rPr>
        <w:t>进博会</w:t>
      </w:r>
      <w:r w:rsidRPr="00CC6812">
        <w:rPr>
          <w:rFonts w:eastAsia="黑体"/>
          <w:sz w:val="28"/>
          <w:szCs w:val="32"/>
        </w:rPr>
        <w:t>”</w:t>
      </w:r>
      <w:r w:rsidRPr="00CC6812">
        <w:rPr>
          <w:rFonts w:eastAsia="黑体"/>
          <w:sz w:val="28"/>
          <w:szCs w:val="32"/>
        </w:rPr>
        <w:t>营造国际一流营商环境研究</w:t>
      </w:r>
      <w:bookmarkEnd w:id="10"/>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近几年来，上海以自贸区建设、五个中心建设、四大品牌建设，以及“进博会”等国家和地方战略的实施为契机，持续优化法治化、国际化、便利化营商环境建设，取得了巨大的成绩。但一系列法律法</w:t>
      </w:r>
      <w:r w:rsidRPr="00CC6812">
        <w:rPr>
          <w:rFonts w:ascii="仿宋" w:eastAsia="仿宋" w:hAnsi="仿宋"/>
          <w:sz w:val="28"/>
          <w:szCs w:val="32"/>
        </w:rPr>
        <w:lastRenderedPageBreak/>
        <w:t>规及政策实施后，法治水平是否适应上海在包括对接“进博会”在内的开放格局中的战略定位，能否为上海改革和开放事业提供坚实的保障，成为亟待解决的问题。</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围绕上海承载的国家和地方改革任务为中心，对接“进博会”营商环境建设的特殊要求，对“进博会”法治化、国际化、便利化营商环境的立法保障、行政执法、司法保障、贸易便利化和国际化等方面实施评估，并提出相应的对策建议。</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600" w:lineRule="exact"/>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11" w:name="_Toc3127230"/>
      <w:r>
        <w:rPr>
          <w:rFonts w:eastAsia="黑体" w:hint="eastAsia"/>
          <w:sz w:val="28"/>
          <w:szCs w:val="32"/>
        </w:rPr>
        <w:t>课题七</w:t>
      </w:r>
      <w:r>
        <w:rPr>
          <w:rFonts w:eastAsia="黑体"/>
          <w:sz w:val="28"/>
          <w:szCs w:val="32"/>
        </w:rPr>
        <w:t>、</w:t>
      </w:r>
      <w:proofErr w:type="gramStart"/>
      <w:r w:rsidRPr="00CC6812">
        <w:rPr>
          <w:rFonts w:eastAsia="黑体"/>
          <w:sz w:val="28"/>
          <w:szCs w:val="32"/>
        </w:rPr>
        <w:t>发挥进博会</w:t>
      </w:r>
      <w:proofErr w:type="gramEnd"/>
      <w:r w:rsidRPr="00CC6812">
        <w:rPr>
          <w:rFonts w:eastAsia="黑体"/>
          <w:sz w:val="28"/>
          <w:szCs w:val="32"/>
        </w:rPr>
        <w:t>开放创新平台效应，优化上海创新创业环境</w:t>
      </w:r>
      <w:bookmarkEnd w:id="11"/>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中国国际进口博览会为各国开展贸易合作搭建了开放式创新平台。进口博览会的召开不仅向世界更向上海传递了一个信号，开放式创新是引领经济未来发展的新模式，是推动长三角一体化发展的新方向。上海需要借地</w:t>
      </w:r>
      <w:proofErr w:type="gramStart"/>
      <w:r w:rsidRPr="00CC6812">
        <w:rPr>
          <w:rFonts w:ascii="仿宋" w:eastAsia="仿宋" w:hAnsi="仿宋"/>
          <w:sz w:val="28"/>
          <w:szCs w:val="32"/>
        </w:rPr>
        <w:t>发挥进博会</w:t>
      </w:r>
      <w:proofErr w:type="gramEnd"/>
      <w:r w:rsidRPr="00CC6812">
        <w:rPr>
          <w:rFonts w:ascii="仿宋" w:eastAsia="仿宋" w:hAnsi="仿宋"/>
          <w:sz w:val="28"/>
          <w:szCs w:val="32"/>
        </w:rPr>
        <w:t>开放创新平台效应，优化上海创新创业环境，进一步助力上海经济发展，推动长三角一体化进程。</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本研究将着力研究开放式创新如何破解基础设施和数据不连通、要素市场流动不充分、产业能级不高、公共服务不便利、市场开放不合理等诸多发展掣肘问题。</w:t>
      </w:r>
    </w:p>
    <w:p w:rsidR="00396D68" w:rsidRDefault="00396D68" w:rsidP="00C2119F">
      <w:pPr>
        <w:spacing w:line="600" w:lineRule="exact"/>
        <w:ind w:firstLineChars="200" w:firstLine="562"/>
        <w:rPr>
          <w:rFonts w:eastAsia="仿宋_GB2312"/>
          <w:bCs/>
          <w:sz w:val="28"/>
          <w:szCs w:val="32"/>
        </w:rPr>
      </w:pPr>
      <w:bookmarkStart w:id="12" w:name="_Toc3127232"/>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246433" w:rsidRDefault="00246433" w:rsidP="00C2119F">
      <w:pPr>
        <w:spacing w:line="600" w:lineRule="exact"/>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r>
        <w:rPr>
          <w:rFonts w:eastAsia="黑体" w:hint="eastAsia"/>
          <w:sz w:val="28"/>
          <w:szCs w:val="32"/>
        </w:rPr>
        <w:t>课题八</w:t>
      </w:r>
      <w:r>
        <w:rPr>
          <w:rFonts w:eastAsia="黑体"/>
          <w:sz w:val="28"/>
          <w:szCs w:val="32"/>
        </w:rPr>
        <w:t>、</w:t>
      </w:r>
      <w:r w:rsidRPr="00CC6812">
        <w:rPr>
          <w:rFonts w:eastAsia="黑体"/>
          <w:sz w:val="28"/>
          <w:szCs w:val="32"/>
        </w:rPr>
        <w:t>上海人工智能产业高地建设的瓶颈及路径选择研究</w:t>
      </w:r>
      <w:bookmarkEnd w:id="12"/>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lastRenderedPageBreak/>
        <w:t>近两年来，针对人工智能，上海科创中心建设有了许多新举措，其中包括：发布《推动上海市新一代人工智能发展的实施意见》等指导性文件，召开世界级的人工智能大会，以最具前瞻性和国际化的视野，聚焦最前沿的国内外人工智能技术趋势，集聚专家智库资源，突出上海在人工智能方面的全球合作。</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从上海打造人工智能产业高地的要求出发，分析国内外人工智能产业发展的最新态势和举措，剖析上海以往新兴产业发展滞后的原因和制约人工智能产业发展的障碍和瓶颈，研究提出上海迅速培养壮大新一代人工智能产业及领军企业的思路和对策，推动上海市人工智能产业发展规划的进一步落实，</w:t>
      </w:r>
      <w:bookmarkStart w:id="13" w:name="OLE_LINK84"/>
      <w:bookmarkStart w:id="14" w:name="OLE_LINK85"/>
      <w:bookmarkStart w:id="15" w:name="OLE_LINK86"/>
      <w:r w:rsidRPr="00CC6812">
        <w:rPr>
          <w:rFonts w:ascii="仿宋" w:eastAsia="仿宋" w:hAnsi="仿宋"/>
          <w:sz w:val="28"/>
          <w:szCs w:val="32"/>
        </w:rPr>
        <w:t>为人工智能引领的上海市</w:t>
      </w:r>
      <w:proofErr w:type="gramStart"/>
      <w:r w:rsidRPr="00CC6812">
        <w:rPr>
          <w:rFonts w:ascii="仿宋" w:eastAsia="仿宋" w:hAnsi="仿宋"/>
          <w:sz w:val="28"/>
          <w:szCs w:val="32"/>
        </w:rPr>
        <w:t>科创中心</w:t>
      </w:r>
      <w:proofErr w:type="gramEnd"/>
      <w:r w:rsidRPr="00CC6812">
        <w:rPr>
          <w:rFonts w:ascii="仿宋" w:eastAsia="仿宋" w:hAnsi="仿宋"/>
          <w:sz w:val="28"/>
          <w:szCs w:val="32"/>
        </w:rPr>
        <w:t>建设提供</w:t>
      </w:r>
      <w:bookmarkEnd w:id="13"/>
      <w:bookmarkEnd w:id="14"/>
      <w:bookmarkEnd w:id="15"/>
      <w:r w:rsidRPr="00CC6812">
        <w:rPr>
          <w:rFonts w:ascii="仿宋" w:eastAsia="仿宋" w:hAnsi="仿宋"/>
          <w:sz w:val="28"/>
          <w:szCs w:val="32"/>
        </w:rPr>
        <w:t>政策建议。</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F627EB" w:rsidRDefault="00396D68" w:rsidP="00C2119F">
      <w:pPr>
        <w:spacing w:line="600" w:lineRule="exact"/>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16" w:name="_Toc3127233"/>
      <w:r>
        <w:rPr>
          <w:rFonts w:eastAsia="黑体" w:hint="eastAsia"/>
          <w:sz w:val="28"/>
          <w:szCs w:val="32"/>
        </w:rPr>
        <w:t>课题九</w:t>
      </w:r>
      <w:r>
        <w:rPr>
          <w:rFonts w:eastAsia="黑体"/>
          <w:sz w:val="28"/>
          <w:szCs w:val="32"/>
        </w:rPr>
        <w:t>、</w:t>
      </w:r>
      <w:r w:rsidRPr="00CC6812">
        <w:rPr>
          <w:rFonts w:eastAsia="黑体"/>
          <w:sz w:val="28"/>
          <w:szCs w:val="32"/>
        </w:rPr>
        <w:t>深化上海企业信用风险治理创新研究</w:t>
      </w:r>
      <w:bookmarkEnd w:id="16"/>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为了服务上海“五大中心”战略，建立良好的营商环境，助力上海城市吸引力、创造力和竞争力提升，增强城市核心功能，建设具有世界影响力的全球城市</w:t>
      </w:r>
      <w:r w:rsidRPr="00CC6812">
        <w:rPr>
          <w:rFonts w:ascii="仿宋" w:eastAsia="仿宋" w:hAnsi="仿宋" w:hint="eastAsia"/>
          <w:sz w:val="28"/>
          <w:szCs w:val="32"/>
        </w:rPr>
        <w:t>，</w:t>
      </w:r>
      <w:r w:rsidRPr="00CC6812">
        <w:rPr>
          <w:rFonts w:ascii="仿宋" w:eastAsia="仿宋" w:hAnsi="仿宋"/>
          <w:sz w:val="28"/>
          <w:szCs w:val="32"/>
        </w:rPr>
        <w:t>本研究将基于失信企业文本大数据，从地区和行业等多维</w:t>
      </w:r>
      <w:proofErr w:type="gramStart"/>
      <w:r w:rsidRPr="00CC6812">
        <w:rPr>
          <w:rFonts w:ascii="仿宋" w:eastAsia="仿宋" w:hAnsi="仿宋"/>
          <w:sz w:val="28"/>
          <w:szCs w:val="32"/>
        </w:rPr>
        <w:t>度建立</w:t>
      </w:r>
      <w:proofErr w:type="gramEnd"/>
      <w:r w:rsidRPr="00CC6812">
        <w:rPr>
          <w:rFonts w:ascii="仿宋" w:eastAsia="仿宋" w:hAnsi="仿宋"/>
          <w:sz w:val="28"/>
          <w:szCs w:val="32"/>
        </w:rPr>
        <w:t>指标体系，综合评估上海企业信用风险。进一步利用模糊算法等，建立失信企业的识别标签，并深入分析导致企业失信的原因。通过将国内代表性城市企业信用风险程度进行对比分析，发现上海企业信用环境存在的优势和短板，最终构建企业信用风险预警机制。</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lastRenderedPageBreak/>
        <w:t>资助经费：</w:t>
      </w:r>
      <w:r>
        <w:rPr>
          <w:rFonts w:eastAsia="仿宋_GB2312"/>
          <w:bCs/>
          <w:sz w:val="28"/>
          <w:szCs w:val="32"/>
        </w:rPr>
        <w:t>15</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sz w:val="28"/>
          <w:szCs w:val="32"/>
        </w:rPr>
        <w:t>2</w:t>
      </w:r>
      <w:r>
        <w:rPr>
          <w:rFonts w:hint="eastAsia"/>
          <w:sz w:val="28"/>
          <w:szCs w:val="32"/>
        </w:rPr>
        <w:t>年</w:t>
      </w:r>
    </w:p>
    <w:p w:rsidR="00396D68" w:rsidRPr="003E3959" w:rsidRDefault="00396D68" w:rsidP="00C2119F">
      <w:pPr>
        <w:spacing w:line="600" w:lineRule="exact"/>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17" w:name="_Toc3127234"/>
      <w:r>
        <w:rPr>
          <w:rFonts w:eastAsia="黑体" w:hint="eastAsia"/>
          <w:sz w:val="28"/>
          <w:szCs w:val="32"/>
        </w:rPr>
        <w:t>课题十</w:t>
      </w:r>
      <w:r>
        <w:rPr>
          <w:rFonts w:eastAsia="黑体"/>
          <w:sz w:val="28"/>
          <w:szCs w:val="32"/>
        </w:rPr>
        <w:t>、</w:t>
      </w:r>
      <w:r w:rsidRPr="00CC6812">
        <w:rPr>
          <w:rFonts w:eastAsia="黑体"/>
          <w:sz w:val="28"/>
          <w:szCs w:val="32"/>
        </w:rPr>
        <w:t>面</w:t>
      </w:r>
      <w:r w:rsidRPr="00246433">
        <w:rPr>
          <w:rFonts w:eastAsia="黑体"/>
          <w:sz w:val="28"/>
          <w:szCs w:val="32"/>
        </w:rPr>
        <w:t>向</w:t>
      </w:r>
      <w:r w:rsidRPr="00CC6812">
        <w:rPr>
          <w:rFonts w:eastAsia="黑体"/>
          <w:sz w:val="28"/>
          <w:szCs w:val="32"/>
        </w:rPr>
        <w:t>新时代的上海乡村振兴战略</w:t>
      </w:r>
      <w:bookmarkEnd w:id="17"/>
      <w:r w:rsidR="00246433">
        <w:rPr>
          <w:rFonts w:eastAsia="黑体" w:hint="eastAsia"/>
          <w:sz w:val="28"/>
          <w:szCs w:val="32"/>
        </w:rPr>
        <w:t>——基于典型</w:t>
      </w:r>
      <w:r w:rsidR="00246433">
        <w:rPr>
          <w:rFonts w:eastAsia="黑体"/>
          <w:sz w:val="28"/>
          <w:szCs w:val="32"/>
        </w:rPr>
        <w:t>案例的研究</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2019年上海市政府工作报告中提到，本年度上海将继续重点扎实推进乡村振兴战略。在实施乡村振兴战略的过程中，如何借鉴国际经验教训；如何发挥上海的典型案例对上海和全国其他地区乡村振兴建设规划的引领、示范作用；如何处理好“中国特色与经验典型”的关系，是现阶段我国农业农村发展需要深入探讨的问题。</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基于案例研究的视角，对北美、欧盟和东亚三种农业农村发展模式以及上海乡村振兴典型案例进行梳理、分析和探讨，归纳总结来自国际和市内乡村振兴的经验启示。在此基础上，综合考虑国际、国内乡村振兴的经验，结合中国现阶段的基本国情和特殊发展背景，阐释上海乡村振兴的关注点，并针对关注点提出战略建议。</w:t>
      </w:r>
    </w:p>
    <w:p w:rsidR="00396D68" w:rsidRPr="00CC4CEA" w:rsidRDefault="00396D68" w:rsidP="00C2119F">
      <w:pPr>
        <w:spacing w:line="600" w:lineRule="exact"/>
        <w:ind w:firstLineChars="200" w:firstLine="562"/>
        <w:rPr>
          <w:color w:val="000000" w:themeColor="text1"/>
          <w:sz w:val="28"/>
          <w:szCs w:val="28"/>
        </w:rPr>
      </w:pPr>
      <w:r w:rsidRPr="00241CAE">
        <w:rPr>
          <w:rFonts w:eastAsia="仿宋_GB2312"/>
          <w:b/>
          <w:bCs/>
          <w:sz w:val="28"/>
          <w:szCs w:val="32"/>
        </w:rPr>
        <w:t>资助经费：</w:t>
      </w:r>
      <w:r>
        <w:rPr>
          <w:rFonts w:eastAsia="仿宋_GB2312"/>
          <w:bCs/>
          <w:sz w:val="28"/>
          <w:szCs w:val="32"/>
        </w:rPr>
        <w:t>10</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rFonts w:hint="eastAsia"/>
          <w:sz w:val="28"/>
          <w:szCs w:val="32"/>
        </w:rPr>
        <w:t>1</w:t>
      </w:r>
      <w:r>
        <w:rPr>
          <w:rFonts w:hint="eastAsia"/>
          <w:sz w:val="28"/>
          <w:szCs w:val="32"/>
        </w:rPr>
        <w:t>年</w:t>
      </w:r>
    </w:p>
    <w:p w:rsidR="00396D68" w:rsidRPr="003E3959" w:rsidRDefault="00396D68" w:rsidP="00C2119F">
      <w:pPr>
        <w:spacing w:line="600" w:lineRule="exact"/>
        <w:ind w:firstLineChars="200" w:firstLine="560"/>
        <w:rPr>
          <w:sz w:val="28"/>
          <w:szCs w:val="32"/>
        </w:rPr>
      </w:pPr>
    </w:p>
    <w:p w:rsidR="00396D68" w:rsidRPr="00CA0646" w:rsidRDefault="00CA0646" w:rsidP="00C2119F">
      <w:pPr>
        <w:shd w:val="clear" w:color="auto" w:fill="FFFFFF"/>
        <w:spacing w:line="360" w:lineRule="auto"/>
        <w:rPr>
          <w:rFonts w:eastAsia="黑体"/>
          <w:sz w:val="28"/>
          <w:szCs w:val="32"/>
        </w:rPr>
      </w:pPr>
      <w:bookmarkStart w:id="18" w:name="_Toc3127235"/>
      <w:r>
        <w:rPr>
          <w:rFonts w:eastAsia="黑体" w:hint="eastAsia"/>
          <w:sz w:val="28"/>
          <w:szCs w:val="32"/>
        </w:rPr>
        <w:t xml:space="preserve">    </w:t>
      </w:r>
      <w:r w:rsidR="00396D68" w:rsidRPr="00CA0646">
        <w:rPr>
          <w:rFonts w:eastAsia="黑体" w:hint="eastAsia"/>
          <w:sz w:val="28"/>
          <w:szCs w:val="32"/>
        </w:rPr>
        <w:t>课题十一</w:t>
      </w:r>
      <w:r w:rsidR="00396D68" w:rsidRPr="00CA0646">
        <w:rPr>
          <w:rFonts w:eastAsia="黑体"/>
          <w:sz w:val="28"/>
          <w:szCs w:val="32"/>
        </w:rPr>
        <w:t>、</w:t>
      </w:r>
      <w:bookmarkEnd w:id="18"/>
      <w:r w:rsidRPr="00CA0646">
        <w:rPr>
          <w:rFonts w:eastAsia="黑体"/>
          <w:sz w:val="28"/>
          <w:szCs w:val="32"/>
        </w:rPr>
        <w:t>借助国际性司法机构（法院</w:t>
      </w:r>
      <w:r w:rsidRPr="00CA0646">
        <w:rPr>
          <w:rFonts w:eastAsia="黑体"/>
          <w:sz w:val="28"/>
          <w:szCs w:val="32"/>
        </w:rPr>
        <w:t>/</w:t>
      </w:r>
      <w:r w:rsidRPr="00CA0646">
        <w:rPr>
          <w:rFonts w:eastAsia="黑体"/>
          <w:sz w:val="28"/>
          <w:szCs w:val="32"/>
        </w:rPr>
        <w:t>法庭）参与全球治理战略研究</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十九大报告指出：“中国秉持共商共建共享的全球治理观，将继续发挥负责任大国作用，积极参与全球治理体系改革和建设，不断贡献中国智慧和力量。”为此，中国如何看待国际性司法机构及其在全</w:t>
      </w:r>
      <w:r w:rsidRPr="00CC6812">
        <w:rPr>
          <w:rFonts w:ascii="仿宋" w:eastAsia="仿宋" w:hAnsi="仿宋"/>
          <w:sz w:val="28"/>
          <w:szCs w:val="32"/>
        </w:rPr>
        <w:lastRenderedPageBreak/>
        <w:t>球治理中的影响；如何看待国际性司法机构的战略地位；是否应该，以及在哪些领域可以借助国际性司法机构积极参与全球治理，等等，都需要对我国已有的观念和实践进行重新思考和战略性研究。</w:t>
      </w:r>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本研究将通过国际性司法机构在当今全球治理中的实践与发展趋势、中国与国际性司法机构的关系及今后的战略等多方面研究，对中国进一步发挥负责任大国作用，为全球提供更多公共产品，完善全球治理体系都具有重要意义。</w:t>
      </w:r>
    </w:p>
    <w:p w:rsidR="00396D68" w:rsidRDefault="00396D68" w:rsidP="00C2119F">
      <w:pPr>
        <w:spacing w:line="600" w:lineRule="exact"/>
        <w:ind w:firstLineChars="200" w:firstLine="562"/>
        <w:rPr>
          <w:rFonts w:eastAsia="仿宋_GB2312"/>
          <w:bCs/>
          <w:sz w:val="28"/>
          <w:szCs w:val="32"/>
        </w:rPr>
      </w:pPr>
      <w:r w:rsidRPr="00241CAE">
        <w:rPr>
          <w:rFonts w:eastAsia="仿宋_GB2312"/>
          <w:b/>
          <w:bCs/>
          <w:sz w:val="28"/>
          <w:szCs w:val="32"/>
        </w:rPr>
        <w:t>资助经费：</w:t>
      </w:r>
      <w:r>
        <w:rPr>
          <w:rFonts w:eastAsia="仿宋_GB2312"/>
          <w:bCs/>
          <w:sz w:val="28"/>
          <w:szCs w:val="32"/>
        </w:rPr>
        <w:t>10</w:t>
      </w:r>
      <w:r w:rsidRPr="00241CAE">
        <w:rPr>
          <w:rFonts w:eastAsia="仿宋_GB2312"/>
          <w:bCs/>
          <w:sz w:val="28"/>
          <w:szCs w:val="32"/>
        </w:rPr>
        <w:t>万元。</w:t>
      </w:r>
    </w:p>
    <w:p w:rsidR="00396D68" w:rsidRDefault="00396D68" w:rsidP="00C2119F">
      <w:pPr>
        <w:spacing w:line="600" w:lineRule="exact"/>
        <w:ind w:firstLineChars="200" w:firstLine="562"/>
        <w:rPr>
          <w:sz w:val="28"/>
          <w:szCs w:val="32"/>
        </w:rPr>
      </w:pPr>
      <w:r w:rsidRPr="00CC6812">
        <w:rPr>
          <w:rFonts w:eastAsia="仿宋_GB2312" w:hint="eastAsia"/>
          <w:b/>
          <w:bCs/>
          <w:sz w:val="28"/>
          <w:szCs w:val="32"/>
        </w:rPr>
        <w:t>研究</w:t>
      </w:r>
      <w:r w:rsidRPr="00CC6812">
        <w:rPr>
          <w:rFonts w:eastAsia="仿宋_GB2312"/>
          <w:b/>
          <w:bCs/>
          <w:sz w:val="28"/>
          <w:szCs w:val="32"/>
        </w:rPr>
        <w:t>周期：</w:t>
      </w:r>
      <w:r>
        <w:rPr>
          <w:rFonts w:hint="eastAsia"/>
          <w:sz w:val="28"/>
          <w:szCs w:val="32"/>
        </w:rPr>
        <w:t>1</w:t>
      </w:r>
      <w:r>
        <w:rPr>
          <w:rFonts w:hint="eastAsia"/>
          <w:sz w:val="28"/>
          <w:szCs w:val="32"/>
        </w:rPr>
        <w:t>年</w:t>
      </w:r>
    </w:p>
    <w:p w:rsidR="00396D68" w:rsidRPr="003E3959" w:rsidRDefault="00396D68" w:rsidP="00C2119F">
      <w:pPr>
        <w:spacing w:line="600" w:lineRule="exact"/>
        <w:ind w:firstLineChars="200" w:firstLine="560"/>
        <w:rPr>
          <w:sz w:val="28"/>
          <w:szCs w:val="32"/>
        </w:rPr>
      </w:pPr>
    </w:p>
    <w:p w:rsidR="00396D68" w:rsidRPr="00CC6812" w:rsidRDefault="00396D68" w:rsidP="00C2119F">
      <w:pPr>
        <w:widowControl/>
        <w:shd w:val="clear" w:color="auto" w:fill="FFFFFF"/>
        <w:spacing w:line="600" w:lineRule="exact"/>
        <w:ind w:firstLineChars="200" w:firstLine="560"/>
        <w:rPr>
          <w:rFonts w:eastAsia="黑体"/>
          <w:sz w:val="28"/>
          <w:szCs w:val="32"/>
        </w:rPr>
      </w:pPr>
      <w:bookmarkStart w:id="19" w:name="_Toc3127238"/>
      <w:r>
        <w:rPr>
          <w:rFonts w:eastAsia="黑体" w:hint="eastAsia"/>
          <w:sz w:val="28"/>
          <w:szCs w:val="32"/>
        </w:rPr>
        <w:t>课题十二</w:t>
      </w:r>
      <w:r>
        <w:rPr>
          <w:rFonts w:eastAsia="黑体"/>
          <w:sz w:val="28"/>
          <w:szCs w:val="32"/>
        </w:rPr>
        <w:t>、</w:t>
      </w:r>
      <w:r w:rsidRPr="00CC6812">
        <w:rPr>
          <w:rFonts w:eastAsia="黑体"/>
          <w:sz w:val="28"/>
          <w:szCs w:val="32"/>
        </w:rPr>
        <w:t>上海市社会经济指数</w:t>
      </w:r>
      <w:bookmarkEnd w:id="19"/>
    </w:p>
    <w:p w:rsidR="00396D68" w:rsidRPr="00CC6812" w:rsidRDefault="00396D68" w:rsidP="00C2119F">
      <w:pPr>
        <w:spacing w:line="600" w:lineRule="exact"/>
        <w:ind w:firstLineChars="200" w:firstLine="560"/>
        <w:rPr>
          <w:rFonts w:ascii="仿宋" w:eastAsia="仿宋" w:hAnsi="仿宋"/>
          <w:sz w:val="28"/>
          <w:szCs w:val="32"/>
        </w:rPr>
      </w:pPr>
      <w:r w:rsidRPr="00CC6812">
        <w:rPr>
          <w:rFonts w:ascii="仿宋" w:eastAsia="仿宋" w:hAnsi="仿宋"/>
          <w:sz w:val="28"/>
          <w:szCs w:val="32"/>
        </w:rPr>
        <w:t>上海财经大学上海市社会经济指数系列自2007年第三季度起，坚持每季度调查、编制和发布，已成为上海财经大学的一个品牌。该指数系列对于构建原创性的数据库和上海市经济运行进行预警和监测等具有重要价值。2019年拟开展题为《2019年各季度上海市社会经济指数系列调查、编制和发布研究》，研究内容包括上海市消费者信心指数和上海市投资者信心指数两部分，共涵盖六大核心指数和25个分类指数。</w:t>
      </w:r>
    </w:p>
    <w:p w:rsidR="00396D68" w:rsidRPr="00F627EB" w:rsidRDefault="00396D68" w:rsidP="00C2119F">
      <w:pPr>
        <w:spacing w:line="600" w:lineRule="exact"/>
        <w:ind w:firstLineChars="200" w:firstLine="562"/>
        <w:rPr>
          <w:rFonts w:eastAsia="仿宋_GB2312"/>
          <w:b/>
          <w:bCs/>
          <w:sz w:val="28"/>
          <w:szCs w:val="32"/>
        </w:rPr>
      </w:pPr>
      <w:r w:rsidRPr="00241CAE">
        <w:rPr>
          <w:rFonts w:eastAsia="仿宋_GB2312"/>
          <w:b/>
          <w:bCs/>
          <w:sz w:val="28"/>
          <w:szCs w:val="32"/>
        </w:rPr>
        <w:t>资助经费：</w:t>
      </w:r>
      <w:r w:rsidRPr="00F627EB">
        <w:rPr>
          <w:rFonts w:eastAsia="仿宋_GB2312"/>
          <w:bCs/>
          <w:sz w:val="28"/>
          <w:szCs w:val="32"/>
        </w:rPr>
        <w:t>30</w:t>
      </w:r>
      <w:r w:rsidRPr="00F627EB">
        <w:rPr>
          <w:rFonts w:eastAsia="仿宋_GB2312"/>
          <w:bCs/>
          <w:sz w:val="28"/>
          <w:szCs w:val="32"/>
        </w:rPr>
        <w:t>万元</w:t>
      </w:r>
    </w:p>
    <w:p w:rsidR="00396D68" w:rsidRPr="00F627EB" w:rsidRDefault="00396D68" w:rsidP="00C2119F">
      <w:pPr>
        <w:spacing w:line="600" w:lineRule="exact"/>
        <w:ind w:firstLineChars="200" w:firstLine="562"/>
        <w:rPr>
          <w:rFonts w:eastAsia="仿宋_GB2312"/>
          <w:b/>
          <w:bCs/>
          <w:sz w:val="28"/>
          <w:szCs w:val="32"/>
        </w:rPr>
      </w:pPr>
      <w:r w:rsidRPr="00CC6812">
        <w:rPr>
          <w:rFonts w:eastAsia="仿宋_GB2312" w:hint="eastAsia"/>
          <w:b/>
          <w:bCs/>
          <w:sz w:val="28"/>
          <w:szCs w:val="32"/>
        </w:rPr>
        <w:t>研究</w:t>
      </w:r>
      <w:r w:rsidRPr="00CC6812">
        <w:rPr>
          <w:rFonts w:eastAsia="仿宋_GB2312"/>
          <w:b/>
          <w:bCs/>
          <w:sz w:val="28"/>
          <w:szCs w:val="32"/>
        </w:rPr>
        <w:t>周期：</w:t>
      </w:r>
      <w:r w:rsidRPr="00F627EB">
        <w:rPr>
          <w:rFonts w:eastAsia="仿宋_GB2312" w:hint="eastAsia"/>
          <w:bCs/>
          <w:sz w:val="28"/>
          <w:szCs w:val="32"/>
        </w:rPr>
        <w:t>1</w:t>
      </w:r>
      <w:r w:rsidRPr="00F627EB">
        <w:rPr>
          <w:rFonts w:eastAsia="仿宋_GB2312" w:hint="eastAsia"/>
          <w:bCs/>
          <w:sz w:val="28"/>
          <w:szCs w:val="32"/>
        </w:rPr>
        <w:t>年</w:t>
      </w:r>
    </w:p>
    <w:p w:rsidR="00493D1F" w:rsidRPr="00396D68" w:rsidRDefault="00493D1F" w:rsidP="00C2119F"/>
    <w:sectPr w:rsidR="00493D1F" w:rsidRPr="00396D6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19C" w:rsidRDefault="003B019C" w:rsidP="00396D68">
      <w:r>
        <w:separator/>
      </w:r>
    </w:p>
  </w:endnote>
  <w:endnote w:type="continuationSeparator" w:id="0">
    <w:p w:rsidR="003B019C" w:rsidRDefault="003B019C" w:rsidP="0039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441035"/>
      <w:docPartObj>
        <w:docPartGallery w:val="Page Numbers (Bottom of Page)"/>
        <w:docPartUnique/>
      </w:docPartObj>
    </w:sdtPr>
    <w:sdtEndPr/>
    <w:sdtContent>
      <w:p w:rsidR="00396D68" w:rsidRDefault="00396D68">
        <w:pPr>
          <w:pStyle w:val="a5"/>
          <w:jc w:val="center"/>
        </w:pPr>
        <w:r>
          <w:fldChar w:fldCharType="begin"/>
        </w:r>
        <w:r>
          <w:instrText>PAGE   \* MERGEFORMAT</w:instrText>
        </w:r>
        <w:r>
          <w:fldChar w:fldCharType="separate"/>
        </w:r>
        <w:r w:rsidR="00C2119F" w:rsidRPr="00C2119F">
          <w:rPr>
            <w:noProof/>
            <w:lang w:val="zh-CN"/>
          </w:rPr>
          <w:t>1</w:t>
        </w:r>
        <w:r>
          <w:fldChar w:fldCharType="end"/>
        </w:r>
      </w:p>
    </w:sdtContent>
  </w:sdt>
  <w:p w:rsidR="00396D68" w:rsidRDefault="00396D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19C" w:rsidRDefault="003B019C" w:rsidP="00396D68">
      <w:r>
        <w:separator/>
      </w:r>
    </w:p>
  </w:footnote>
  <w:footnote w:type="continuationSeparator" w:id="0">
    <w:p w:rsidR="003B019C" w:rsidRDefault="003B019C" w:rsidP="00396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096BDA"/>
    <w:multiLevelType w:val="hybridMultilevel"/>
    <w:tmpl w:val="AA16978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D68"/>
    <w:rsid w:val="00246433"/>
    <w:rsid w:val="00396D68"/>
    <w:rsid w:val="003B019C"/>
    <w:rsid w:val="00493D1F"/>
    <w:rsid w:val="009C29A9"/>
    <w:rsid w:val="009F7FCA"/>
    <w:rsid w:val="00C2119F"/>
    <w:rsid w:val="00CA0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8778AE-8A3D-4608-8D79-69BF69E0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D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6D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96D68"/>
    <w:rPr>
      <w:rFonts w:ascii="Times New Roman" w:eastAsia="宋体" w:hAnsi="Times New Roman" w:cs="Times New Roman"/>
      <w:sz w:val="18"/>
      <w:szCs w:val="18"/>
    </w:rPr>
  </w:style>
  <w:style w:type="paragraph" w:styleId="a5">
    <w:name w:val="footer"/>
    <w:basedOn w:val="a"/>
    <w:link w:val="a6"/>
    <w:uiPriority w:val="99"/>
    <w:unhideWhenUsed/>
    <w:rsid w:val="00396D68"/>
    <w:pPr>
      <w:tabs>
        <w:tab w:val="center" w:pos="4153"/>
        <w:tab w:val="right" w:pos="8306"/>
      </w:tabs>
      <w:snapToGrid w:val="0"/>
      <w:jc w:val="left"/>
    </w:pPr>
    <w:rPr>
      <w:sz w:val="18"/>
      <w:szCs w:val="18"/>
    </w:rPr>
  </w:style>
  <w:style w:type="character" w:customStyle="1" w:styleId="a6">
    <w:name w:val="页脚 字符"/>
    <w:basedOn w:val="a0"/>
    <w:link w:val="a5"/>
    <w:uiPriority w:val="99"/>
    <w:rsid w:val="00396D68"/>
    <w:rPr>
      <w:rFonts w:ascii="Times New Roman" w:eastAsia="宋体" w:hAnsi="Times New Roman" w:cs="Times New Roman"/>
      <w:sz w:val="18"/>
      <w:szCs w:val="18"/>
    </w:rPr>
  </w:style>
  <w:style w:type="paragraph" w:styleId="a7">
    <w:name w:val="List Paragraph"/>
    <w:basedOn w:val="a"/>
    <w:uiPriority w:val="34"/>
    <w:qFormat/>
    <w:rsid w:val="00CA0646"/>
    <w:pPr>
      <w:widowControl/>
      <w:spacing w:line="276" w:lineRule="auto"/>
      <w:ind w:left="720"/>
      <w:contextualSpacing/>
      <w:jc w:val="left"/>
    </w:pPr>
    <w:rPr>
      <w:rFonts w:ascii="Calibri" w:hAnsi="Calibri"/>
      <w:kern w:val="0"/>
      <w:sz w:val="22"/>
      <w:szCs w:val="22"/>
    </w:rPr>
  </w:style>
  <w:style w:type="character" w:styleId="a8">
    <w:name w:val="annotation reference"/>
    <w:basedOn w:val="a0"/>
    <w:uiPriority w:val="99"/>
    <w:semiHidden/>
    <w:unhideWhenUsed/>
    <w:rsid w:val="00246433"/>
    <w:rPr>
      <w:sz w:val="21"/>
      <w:szCs w:val="21"/>
    </w:rPr>
  </w:style>
  <w:style w:type="paragraph" w:styleId="a9">
    <w:name w:val="annotation text"/>
    <w:basedOn w:val="a"/>
    <w:link w:val="aa"/>
    <w:uiPriority w:val="99"/>
    <w:semiHidden/>
    <w:unhideWhenUsed/>
    <w:rsid w:val="00246433"/>
    <w:pPr>
      <w:jc w:val="left"/>
    </w:pPr>
  </w:style>
  <w:style w:type="character" w:customStyle="1" w:styleId="aa">
    <w:name w:val="批注文字 字符"/>
    <w:basedOn w:val="a0"/>
    <w:link w:val="a9"/>
    <w:uiPriority w:val="99"/>
    <w:semiHidden/>
    <w:rsid w:val="00246433"/>
    <w:rPr>
      <w:rFonts w:ascii="Times New Roman" w:eastAsia="宋体" w:hAnsi="Times New Roman" w:cs="Times New Roman"/>
      <w:szCs w:val="24"/>
    </w:rPr>
  </w:style>
  <w:style w:type="paragraph" w:styleId="ab">
    <w:name w:val="annotation subject"/>
    <w:basedOn w:val="a9"/>
    <w:next w:val="a9"/>
    <w:link w:val="ac"/>
    <w:uiPriority w:val="99"/>
    <w:semiHidden/>
    <w:unhideWhenUsed/>
    <w:rsid w:val="00246433"/>
    <w:rPr>
      <w:b/>
      <w:bCs/>
    </w:rPr>
  </w:style>
  <w:style w:type="character" w:customStyle="1" w:styleId="ac">
    <w:name w:val="批注主题 字符"/>
    <w:basedOn w:val="aa"/>
    <w:link w:val="ab"/>
    <w:uiPriority w:val="99"/>
    <w:semiHidden/>
    <w:rsid w:val="00246433"/>
    <w:rPr>
      <w:rFonts w:ascii="Times New Roman" w:eastAsia="宋体" w:hAnsi="Times New Roman" w:cs="Times New Roman"/>
      <w:b/>
      <w:bCs/>
      <w:szCs w:val="24"/>
    </w:rPr>
  </w:style>
  <w:style w:type="paragraph" w:styleId="ad">
    <w:name w:val="Balloon Text"/>
    <w:basedOn w:val="a"/>
    <w:link w:val="ae"/>
    <w:uiPriority w:val="99"/>
    <w:semiHidden/>
    <w:unhideWhenUsed/>
    <w:rsid w:val="00246433"/>
    <w:rPr>
      <w:sz w:val="18"/>
      <w:szCs w:val="18"/>
    </w:rPr>
  </w:style>
  <w:style w:type="character" w:customStyle="1" w:styleId="ae">
    <w:name w:val="批注框文本 字符"/>
    <w:basedOn w:val="a0"/>
    <w:link w:val="ad"/>
    <w:uiPriority w:val="99"/>
    <w:semiHidden/>
    <w:rsid w:val="0024643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737</Words>
  <Characters>4201</Characters>
  <Application>Microsoft Office Word</Application>
  <DocSecurity>0</DocSecurity>
  <Lines>35</Lines>
  <Paragraphs>9</Paragraphs>
  <ScaleCrop>false</ScaleCrop>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杨雯君</dc:creator>
  <cp:keywords/>
  <dc:description/>
  <cp:lastModifiedBy>包滢</cp:lastModifiedBy>
  <cp:revision>4</cp:revision>
  <dcterms:created xsi:type="dcterms:W3CDTF">2019-03-14T00:28:00Z</dcterms:created>
  <dcterms:modified xsi:type="dcterms:W3CDTF">2019-03-14T00:43:00Z</dcterms:modified>
</cp:coreProperties>
</file>