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9C" w:rsidRPr="003B7569" w:rsidRDefault="008643F8" w:rsidP="008643F8">
      <w:pPr>
        <w:jc w:val="center"/>
        <w:rPr>
          <w:b/>
          <w:sz w:val="28"/>
          <w:szCs w:val="28"/>
        </w:rPr>
      </w:pPr>
      <w:r w:rsidRPr="003B7569">
        <w:rPr>
          <w:rFonts w:hint="eastAsia"/>
          <w:b/>
          <w:sz w:val="28"/>
          <w:szCs w:val="28"/>
        </w:rPr>
        <w:t>关于征集国家自然科学基金资助成果的通知</w:t>
      </w:r>
      <w:bookmarkStart w:id="0" w:name="_GoBack"/>
      <w:bookmarkEnd w:id="0"/>
    </w:p>
    <w:p w:rsidR="008643F8" w:rsidRDefault="008643F8" w:rsidP="008643F8">
      <w:pPr>
        <w:spacing w:line="276" w:lineRule="auto"/>
      </w:pPr>
    </w:p>
    <w:p w:rsidR="00DA5C43" w:rsidRDefault="008643F8" w:rsidP="008643F8">
      <w:pPr>
        <w:spacing w:line="276" w:lineRule="auto"/>
      </w:pPr>
      <w:r>
        <w:rPr>
          <w:rFonts w:hint="eastAsia"/>
        </w:rPr>
        <w:t>国家</w:t>
      </w:r>
      <w:r>
        <w:t>自然科学</w:t>
      </w:r>
      <w:r w:rsidR="00DA5C43">
        <w:rPr>
          <w:rFonts w:hint="eastAsia"/>
        </w:rPr>
        <w:t>基金</w:t>
      </w:r>
      <w:r w:rsidR="00DA5C43">
        <w:t>项目负责人：</w:t>
      </w:r>
    </w:p>
    <w:p w:rsidR="00DA5C43" w:rsidRDefault="00DA5C43" w:rsidP="008643F8">
      <w:pPr>
        <w:spacing w:line="276" w:lineRule="auto"/>
        <w:ind w:firstLineChars="200" w:firstLine="420"/>
      </w:pPr>
      <w:r w:rsidRPr="00DA5C43">
        <w:rPr>
          <w:rFonts w:hint="eastAsia"/>
        </w:rPr>
        <w:t>30</w:t>
      </w:r>
      <w:r w:rsidRPr="00DA5C43">
        <w:rPr>
          <w:rFonts w:hint="eastAsia"/>
        </w:rPr>
        <w:t>多年来，在国家自然科学基金支持下，我国科学家在一些科学前沿和富有潜在价值的创新发展领域取得了重要突破，涌现了大量创新性科研成果。为了加强对这些科研成果的传播，以扩大这些成果的影响力，提升公众对基础研究的认知，同时也为了扩大基金委的声誉和在公众中的认知度，提升基金委和基础研究在社会上的影响力，</w:t>
      </w:r>
      <w:r w:rsidRPr="008643F8">
        <w:rPr>
          <w:rFonts w:hint="eastAsia"/>
          <w:b/>
        </w:rPr>
        <w:t>国家自然科学基金委员会科学传播中心特开设《基金成果》栏目</w:t>
      </w:r>
      <w:r w:rsidRPr="00DA5C43">
        <w:rPr>
          <w:rFonts w:hint="eastAsia"/>
        </w:rPr>
        <w:t>，系统性地报道国家自然科学基金资助项目所获得的研究成果及最新研究进展，全面、系统地展示国家自然科学基金资助项目的创新性研究成果。</w:t>
      </w:r>
    </w:p>
    <w:p w:rsidR="008C2DB8" w:rsidRDefault="003351DF" w:rsidP="008643F8">
      <w:pPr>
        <w:spacing w:line="276" w:lineRule="auto"/>
        <w:ind w:firstLineChars="200" w:firstLine="420"/>
      </w:pPr>
      <w:r>
        <w:rPr>
          <w:rFonts w:hint="eastAsia"/>
        </w:rPr>
        <w:t>在研究</w:t>
      </w:r>
      <w:r>
        <w:t>过程中，</w:t>
      </w:r>
      <w:r>
        <w:rPr>
          <w:rFonts w:hint="eastAsia"/>
        </w:rPr>
        <w:t>如有</w:t>
      </w:r>
      <w:r>
        <w:t>高水平论文发表，请及时</w:t>
      </w:r>
      <w:r w:rsidR="008C2DB8">
        <w:rPr>
          <w:rFonts w:hint="eastAsia"/>
        </w:rPr>
        <w:t>撰写</w:t>
      </w:r>
      <w:r w:rsidR="008643F8">
        <w:t>研究成果</w:t>
      </w:r>
      <w:r w:rsidR="008C2DB8">
        <w:t>新闻稿并发送至</w:t>
      </w:r>
      <w:r w:rsidR="008C2DB8">
        <w:t>liuyuebo@mail.shufe.edu.cn</w:t>
      </w:r>
      <w:r w:rsidR="008C2DB8" w:rsidRPr="008C2DB8">
        <w:rPr>
          <w:rFonts w:hint="eastAsia"/>
        </w:rPr>
        <w:t>，由</w:t>
      </w:r>
      <w:r w:rsidR="008C2DB8">
        <w:rPr>
          <w:rFonts w:hint="eastAsia"/>
        </w:rPr>
        <w:t>科研处</w:t>
      </w:r>
      <w:r w:rsidR="008C2DB8" w:rsidRPr="008C2DB8">
        <w:rPr>
          <w:rFonts w:hint="eastAsia"/>
        </w:rPr>
        <w:t>向国家自然科学基金</w:t>
      </w:r>
      <w:r w:rsidR="00956393">
        <w:rPr>
          <w:rFonts w:hint="eastAsia"/>
        </w:rPr>
        <w:t>委员会科学传播中心投稿，实现国家自然科学基金资助成果的及时传播。科研处</w:t>
      </w:r>
      <w:r w:rsidR="00956393">
        <w:t>将长期接收投稿，请项目负责人积极</w:t>
      </w:r>
      <w:r w:rsidR="00956393">
        <w:rPr>
          <w:rFonts w:hint="eastAsia"/>
        </w:rPr>
        <w:t>参与，</w:t>
      </w:r>
      <w:r w:rsidR="00956393">
        <w:t>扩大</w:t>
      </w:r>
      <w:r w:rsidR="000614B1">
        <w:rPr>
          <w:rFonts w:hint="eastAsia"/>
        </w:rPr>
        <w:t>研究</w:t>
      </w:r>
      <w:r w:rsidR="00956393">
        <w:t>成果影响力。</w:t>
      </w:r>
    </w:p>
    <w:p w:rsidR="008643F8" w:rsidRDefault="008643F8" w:rsidP="008643F8">
      <w:pPr>
        <w:spacing w:line="276" w:lineRule="auto"/>
        <w:ind w:firstLineChars="200" w:firstLine="420"/>
      </w:pPr>
      <w:r>
        <w:rPr>
          <w:rFonts w:hint="eastAsia"/>
        </w:rPr>
        <w:t>联系人</w:t>
      </w:r>
      <w:r>
        <w:t>：刘月波</w:t>
      </w:r>
      <w:r>
        <w:rPr>
          <w:rFonts w:hint="eastAsia"/>
        </w:rPr>
        <w:t xml:space="preserve">     </w:t>
      </w:r>
      <w:r>
        <w:rPr>
          <w:rFonts w:hint="eastAsia"/>
        </w:rPr>
        <w:t>电话</w:t>
      </w:r>
      <w:r>
        <w:t>：</w:t>
      </w:r>
      <w:r>
        <w:rPr>
          <w:rFonts w:hint="eastAsia"/>
        </w:rPr>
        <w:t>65904366</w:t>
      </w:r>
    </w:p>
    <w:p w:rsidR="003351DF" w:rsidRDefault="003351DF" w:rsidP="008643F8">
      <w:pPr>
        <w:spacing w:line="276" w:lineRule="auto"/>
        <w:ind w:firstLineChars="200" w:firstLine="420"/>
        <w:jc w:val="right"/>
      </w:pPr>
      <w:r>
        <w:rPr>
          <w:rFonts w:hint="eastAsia"/>
        </w:rPr>
        <w:t>科研处</w:t>
      </w:r>
    </w:p>
    <w:p w:rsidR="003351DF" w:rsidRDefault="003351DF" w:rsidP="008643F8">
      <w:pPr>
        <w:spacing w:line="276" w:lineRule="auto"/>
        <w:ind w:firstLineChars="200" w:firstLine="420"/>
        <w:jc w:val="right"/>
      </w:pPr>
      <w:r>
        <w:rPr>
          <w:rFonts w:hint="eastAsia"/>
        </w:rPr>
        <w:t>2018</w:t>
      </w:r>
      <w:r>
        <w:rPr>
          <w:rFonts w:hint="eastAsia"/>
        </w:rPr>
        <w:t>年</w:t>
      </w:r>
      <w:r>
        <w:rPr>
          <w:rFonts w:hint="eastAsia"/>
        </w:rPr>
        <w:t>4</w:t>
      </w:r>
      <w:r>
        <w:rPr>
          <w:rFonts w:hint="eastAsia"/>
        </w:rPr>
        <w:t>月</w:t>
      </w:r>
      <w:r>
        <w:rPr>
          <w:rFonts w:hint="eastAsia"/>
        </w:rPr>
        <w:t>23</w:t>
      </w:r>
      <w:r>
        <w:rPr>
          <w:rFonts w:hint="eastAsia"/>
        </w:rPr>
        <w:t>日</w:t>
      </w:r>
    </w:p>
    <w:p w:rsidR="00155CEC" w:rsidRDefault="00155CEC" w:rsidP="008643F8">
      <w:pPr>
        <w:spacing w:line="276" w:lineRule="auto"/>
        <w:ind w:firstLineChars="200" w:firstLine="420"/>
        <w:jc w:val="right"/>
      </w:pPr>
    </w:p>
    <w:p w:rsidR="008643F8" w:rsidRDefault="008643F8" w:rsidP="008643F8">
      <w:pPr>
        <w:spacing w:line="276" w:lineRule="auto"/>
        <w:ind w:firstLineChars="200" w:firstLine="420"/>
        <w:jc w:val="right"/>
      </w:pPr>
    </w:p>
    <w:p w:rsidR="00F84125" w:rsidRDefault="00F84125" w:rsidP="003351DF">
      <w:pPr>
        <w:rPr>
          <w:b/>
        </w:rPr>
      </w:pPr>
    </w:p>
    <w:p w:rsidR="003351DF" w:rsidRPr="003351DF" w:rsidRDefault="003351DF" w:rsidP="003351DF">
      <w:pPr>
        <w:rPr>
          <w:b/>
        </w:rPr>
      </w:pPr>
      <w:r w:rsidRPr="003351DF">
        <w:rPr>
          <w:rFonts w:hint="eastAsia"/>
          <w:b/>
        </w:rPr>
        <w:t>附件</w:t>
      </w:r>
      <w:r w:rsidRPr="003351DF">
        <w:rPr>
          <w:rFonts w:hint="eastAsia"/>
          <w:b/>
        </w:rPr>
        <w:t>1</w:t>
      </w:r>
      <w:r w:rsidRPr="003351DF">
        <w:rPr>
          <w:b/>
        </w:rPr>
        <w:t>：</w:t>
      </w:r>
      <w:r w:rsidRPr="003351DF">
        <w:rPr>
          <w:rFonts w:hint="eastAsia"/>
          <w:b/>
        </w:rPr>
        <w:t>投稿</w:t>
      </w:r>
      <w:r w:rsidRPr="003351DF">
        <w:rPr>
          <w:b/>
        </w:rPr>
        <w:t>要求</w:t>
      </w:r>
    </w:p>
    <w:p w:rsidR="003351DF" w:rsidRDefault="003351DF" w:rsidP="003351DF">
      <w:pPr>
        <w:ind w:firstLineChars="200" w:firstLine="420"/>
      </w:pPr>
      <w:r>
        <w:rPr>
          <w:rFonts w:hint="eastAsia"/>
        </w:rPr>
        <w:t>稿件应以</w:t>
      </w:r>
      <w:r>
        <w:rPr>
          <w:rFonts w:hint="eastAsia"/>
        </w:rPr>
        <w:t xml:space="preserve"> Word </w:t>
      </w:r>
      <w:r>
        <w:rPr>
          <w:rFonts w:hint="eastAsia"/>
        </w:rPr>
        <w:t>文档提交，</w:t>
      </w:r>
      <w:r>
        <w:rPr>
          <w:rFonts w:hint="eastAsia"/>
        </w:rPr>
        <w:t xml:space="preserve">1000-3000 </w:t>
      </w:r>
      <w:r>
        <w:rPr>
          <w:rFonts w:hint="eastAsia"/>
        </w:rPr>
        <w:t>字，投稿时最好能同时提交能够反映研究成果的高分辨率彩色图片一张。稿件中应列出反映项目研究成果所发表的高水平研究论文信息，并提供相应的原文链接网址。</w:t>
      </w:r>
    </w:p>
    <w:p w:rsidR="003351DF" w:rsidRDefault="003351DF" w:rsidP="003351DF">
      <w:pPr>
        <w:ind w:firstLineChars="200" w:firstLine="420"/>
      </w:pPr>
      <w:r>
        <w:rPr>
          <w:rFonts w:hint="eastAsia"/>
        </w:rPr>
        <w:t>稿件采用通栏排版，要求图表清晰，简化字以正式公布的为准，公式符号规范，力求内容充实精炼。</w:t>
      </w:r>
    </w:p>
    <w:p w:rsidR="003351DF" w:rsidRDefault="004F64BE" w:rsidP="003351DF">
      <w:pPr>
        <w:ind w:firstLineChars="200" w:firstLine="420"/>
      </w:pPr>
      <w:r w:rsidRPr="008C2DB8">
        <w:rPr>
          <w:rFonts w:hint="eastAsia"/>
        </w:rPr>
        <w:t>投稿时请在稿件中注明该成果获得国家自然科学基金资助并标明项目编号。</w:t>
      </w:r>
    </w:p>
    <w:p w:rsidR="003351DF" w:rsidRDefault="003351DF" w:rsidP="003351DF"/>
    <w:p w:rsidR="003351DF" w:rsidRDefault="003351DF" w:rsidP="003351DF">
      <w:pPr>
        <w:rPr>
          <w:b/>
        </w:rPr>
      </w:pPr>
      <w:r w:rsidRPr="003351DF">
        <w:rPr>
          <w:rFonts w:hint="eastAsia"/>
          <w:b/>
        </w:rPr>
        <w:t>附件</w:t>
      </w:r>
      <w:r w:rsidRPr="003351DF">
        <w:rPr>
          <w:rFonts w:hint="eastAsia"/>
          <w:b/>
        </w:rPr>
        <w:t>2</w:t>
      </w:r>
      <w:r w:rsidRPr="003351DF">
        <w:rPr>
          <w:rFonts w:hint="eastAsia"/>
          <w:b/>
        </w:rPr>
        <w:t>：《基金成果》投稿范例</w:t>
      </w:r>
    </w:p>
    <w:p w:rsidR="00155CEC" w:rsidRPr="003351DF" w:rsidRDefault="00155CEC" w:rsidP="003351DF">
      <w:pPr>
        <w:rPr>
          <w:b/>
        </w:rPr>
      </w:pPr>
    </w:p>
    <w:p w:rsidR="003351DF" w:rsidRPr="003B2FDE" w:rsidRDefault="003351DF" w:rsidP="003351DF">
      <w:pPr>
        <w:jc w:val="center"/>
        <w:rPr>
          <w:rFonts w:ascii="微软雅黑" w:eastAsia="微软雅黑" w:hAnsi="微软雅黑" w:cs="微软雅黑"/>
          <w:b/>
          <w:color w:val="000000"/>
          <w:sz w:val="24"/>
          <w:szCs w:val="24"/>
          <w:shd w:val="clear" w:color="auto" w:fill="FFFFFF"/>
        </w:rPr>
      </w:pPr>
      <w:r w:rsidRPr="003B2FDE">
        <w:rPr>
          <w:rFonts w:ascii="微软雅黑" w:eastAsia="微软雅黑" w:hAnsi="微软雅黑" w:cs="微软雅黑"/>
          <w:b/>
          <w:color w:val="000000"/>
          <w:sz w:val="24"/>
          <w:szCs w:val="24"/>
          <w:shd w:val="clear" w:color="auto" w:fill="FFFFFF"/>
        </w:rPr>
        <w:t>华中农大揭示蛋白质SUMO化修饰调控稻瘟菌致病机制</w:t>
      </w:r>
    </w:p>
    <w:p w:rsidR="003351DF" w:rsidRPr="00C43AB2" w:rsidRDefault="003351DF" w:rsidP="003351DF">
      <w:pPr>
        <w:jc w:val="center"/>
      </w:pPr>
      <w:r w:rsidRPr="00C43AB2">
        <w:rPr>
          <w:rFonts w:hint="eastAsia"/>
        </w:rPr>
        <w:t>作者</w:t>
      </w:r>
      <w:r w:rsidRPr="00C43AB2">
        <w:rPr>
          <w:rFonts w:hint="eastAsia"/>
        </w:rPr>
        <w:t xml:space="preserve"> </w:t>
      </w:r>
      <w:r w:rsidRPr="00C43AB2">
        <w:t>刘彩云</w:t>
      </w:r>
    </w:p>
    <w:p w:rsidR="003351DF" w:rsidRPr="00381C02" w:rsidRDefault="003351DF" w:rsidP="003351DF">
      <w:pPr>
        <w:pStyle w:val="a6"/>
        <w:shd w:val="clear" w:color="auto" w:fill="FFFFFF"/>
        <w:spacing w:before="0" w:beforeAutospacing="0" w:after="0" w:afterAutospacing="0" w:line="384" w:lineRule="atLeast"/>
        <w:ind w:leftChars="57" w:left="120" w:right="120" w:firstLineChars="200" w:firstLine="320"/>
        <w:jc w:val="both"/>
        <w:rPr>
          <w:rFonts w:ascii="微软雅黑" w:eastAsia="微软雅黑" w:hAnsi="微软雅黑"/>
          <w:color w:val="3E3E3E"/>
          <w:sz w:val="16"/>
          <w:szCs w:val="16"/>
        </w:rPr>
      </w:pPr>
      <w:r w:rsidRPr="00381C02">
        <w:rPr>
          <w:rFonts w:ascii="微软雅黑" w:eastAsia="微软雅黑" w:hAnsi="微软雅黑"/>
          <w:color w:val="3E3E3E"/>
          <w:sz w:val="16"/>
          <w:szCs w:val="16"/>
        </w:rPr>
        <w:t>植物病原真菌的致病过程，需要大量致病相关蛋白发挥功能，这些蛋白的功能在致病过程中受到不同生物学水平的精细调控。SUMO化修饰（</w:t>
      </w:r>
      <w:r w:rsidRPr="00381C02">
        <w:rPr>
          <w:rStyle w:val="a7"/>
          <w:rFonts w:ascii="微软雅黑" w:eastAsia="微软雅黑" w:hAnsi="微软雅黑"/>
          <w:color w:val="888888"/>
          <w:sz w:val="16"/>
          <w:szCs w:val="16"/>
        </w:rPr>
        <w:t>Small Ubiquitin-Like Modifier</w:t>
      </w:r>
      <w:r w:rsidRPr="00381C02">
        <w:rPr>
          <w:rFonts w:ascii="微软雅黑" w:eastAsia="微软雅黑" w:hAnsi="微软雅黑"/>
          <w:color w:val="3E3E3E"/>
          <w:sz w:val="16"/>
          <w:szCs w:val="16"/>
        </w:rPr>
        <w:t>）是一种类泛素化修饰，与泛素化修饰通常介导蛋白降解的功能不同的是，SUMO化修饰通常调控蛋白稳定性，蛋白质核-质转运，以及蛋白结合功能等。</w:t>
      </w:r>
    </w:p>
    <w:p w:rsidR="003351DF" w:rsidRPr="00381C02" w:rsidRDefault="003351DF" w:rsidP="003351DF">
      <w:pPr>
        <w:pStyle w:val="a6"/>
        <w:shd w:val="clear" w:color="auto" w:fill="FFFFFF"/>
        <w:spacing w:before="0" w:beforeAutospacing="0" w:after="0" w:afterAutospacing="0" w:line="384" w:lineRule="atLeast"/>
        <w:ind w:leftChars="57" w:left="120" w:right="120" w:firstLineChars="200" w:firstLine="320"/>
        <w:jc w:val="both"/>
        <w:rPr>
          <w:rFonts w:ascii="微软雅黑" w:eastAsia="微软雅黑" w:hAnsi="微软雅黑"/>
          <w:color w:val="3E3E3E"/>
          <w:sz w:val="16"/>
          <w:szCs w:val="16"/>
        </w:rPr>
      </w:pPr>
      <w:r w:rsidRPr="00381C02">
        <w:rPr>
          <w:rFonts w:ascii="微软雅黑" w:eastAsia="微软雅黑" w:hAnsi="微软雅黑"/>
          <w:color w:val="3E3E3E"/>
          <w:sz w:val="16"/>
          <w:szCs w:val="16"/>
        </w:rPr>
        <w:t>近日，华中农业大学植物科学技术学院</w:t>
      </w:r>
      <w:r w:rsidRPr="00381C02">
        <w:rPr>
          <w:rStyle w:val="a7"/>
          <w:rFonts w:ascii="微软雅黑" w:eastAsia="微软雅黑" w:hAnsi="微软雅黑"/>
          <w:color w:val="3E3E3E"/>
          <w:sz w:val="16"/>
          <w:szCs w:val="16"/>
        </w:rPr>
        <w:t>陈小林</w:t>
      </w:r>
      <w:r w:rsidRPr="00381C02">
        <w:rPr>
          <w:rFonts w:ascii="微软雅黑" w:eastAsia="微软雅黑" w:hAnsi="微软雅黑"/>
          <w:color w:val="3E3E3E"/>
          <w:sz w:val="16"/>
          <w:szCs w:val="16"/>
        </w:rPr>
        <w:t>研究组在</w:t>
      </w:r>
      <w:r w:rsidRPr="00381C02">
        <w:rPr>
          <w:rStyle w:val="a7"/>
          <w:rFonts w:ascii="微软雅黑" w:eastAsia="微软雅黑" w:hAnsi="微软雅黑"/>
          <w:i/>
          <w:iCs/>
          <w:color w:val="3E3E3E"/>
          <w:sz w:val="16"/>
          <w:szCs w:val="16"/>
        </w:rPr>
        <w:t>New Phytologist</w:t>
      </w:r>
      <w:r w:rsidRPr="00381C02">
        <w:rPr>
          <w:rFonts w:ascii="微软雅黑" w:eastAsia="微软雅黑" w:hAnsi="微软雅黑"/>
          <w:color w:val="3E3E3E"/>
          <w:sz w:val="16"/>
          <w:szCs w:val="16"/>
        </w:rPr>
        <w:t>杂志在线发表了题为“</w:t>
      </w:r>
      <w:r w:rsidRPr="00381C02">
        <w:rPr>
          <w:rStyle w:val="a7"/>
          <w:rFonts w:ascii="微软雅黑" w:eastAsia="微软雅黑" w:hAnsi="微软雅黑"/>
          <w:color w:val="3E3E3E"/>
          <w:sz w:val="16"/>
          <w:szCs w:val="16"/>
        </w:rPr>
        <w:t>Global analysis of sumoylation function reveals novel insights into development and appressorium</w:t>
      </w:r>
      <w:r w:rsidRPr="00381C02">
        <w:rPr>
          <w:rStyle w:val="a7"/>
          <w:rFonts w:ascii="微软雅黑" w:eastAsia="微软雅黑" w:hAnsi="微软雅黑" w:hint="eastAsia"/>
          <w:color w:val="3E3E3E"/>
          <w:sz w:val="16"/>
          <w:szCs w:val="16"/>
        </w:rPr>
        <w:t>‐</w:t>
      </w:r>
      <w:r w:rsidRPr="00381C02">
        <w:rPr>
          <w:rStyle w:val="a7"/>
          <w:rFonts w:ascii="微软雅黑" w:eastAsia="微软雅黑" w:hAnsi="微软雅黑"/>
          <w:color w:val="3E3E3E"/>
          <w:sz w:val="16"/>
          <w:szCs w:val="16"/>
        </w:rPr>
        <w:t>mediated infection of the rice blast fungus</w:t>
      </w:r>
      <w:r w:rsidRPr="00381C02">
        <w:rPr>
          <w:rStyle w:val="apple-converted-space"/>
          <w:rFonts w:ascii="微软雅黑" w:eastAsia="微软雅黑" w:hAnsi="微软雅黑"/>
          <w:color w:val="3E3E3E"/>
          <w:sz w:val="16"/>
          <w:szCs w:val="16"/>
        </w:rPr>
        <w:t> </w:t>
      </w:r>
      <w:r w:rsidRPr="00381C02">
        <w:rPr>
          <w:rFonts w:ascii="微软雅黑" w:eastAsia="微软雅黑" w:hAnsi="微软雅黑"/>
          <w:color w:val="3E3E3E"/>
          <w:sz w:val="16"/>
          <w:szCs w:val="16"/>
        </w:rPr>
        <w:t>”的研究论文，</w:t>
      </w:r>
      <w:r w:rsidRPr="00381C02">
        <w:rPr>
          <w:rStyle w:val="a7"/>
          <w:rFonts w:ascii="微软雅黑" w:eastAsia="微软雅黑" w:hAnsi="微软雅黑"/>
          <w:color w:val="3E3E3E"/>
          <w:sz w:val="16"/>
          <w:szCs w:val="16"/>
        </w:rPr>
        <w:t>揭示了蛋白质SUMO化修饰调控稻瘟菌致病机制</w:t>
      </w:r>
      <w:r w:rsidRPr="00381C02">
        <w:rPr>
          <w:rFonts w:ascii="微软雅黑" w:eastAsia="微软雅黑" w:hAnsi="微软雅黑"/>
          <w:color w:val="3E3E3E"/>
          <w:sz w:val="16"/>
          <w:szCs w:val="16"/>
        </w:rPr>
        <w:t>。</w:t>
      </w:r>
    </w:p>
    <w:p w:rsidR="003351DF" w:rsidRDefault="003351DF" w:rsidP="003351DF">
      <w:pPr>
        <w:pStyle w:val="a6"/>
        <w:shd w:val="clear" w:color="auto" w:fill="FFFFFF"/>
        <w:spacing w:before="0" w:beforeAutospacing="0" w:after="0" w:afterAutospacing="0" w:line="384" w:lineRule="atLeast"/>
        <w:ind w:left="120" w:right="120"/>
        <w:jc w:val="both"/>
        <w:rPr>
          <w:rFonts w:ascii="Helvetica" w:hAnsi="Helvetica"/>
          <w:color w:val="3E3E3E"/>
        </w:rPr>
      </w:pPr>
      <w:r>
        <w:rPr>
          <w:rFonts w:ascii="Helvetica" w:hAnsi="Helvetica"/>
          <w:noProof/>
          <w:color w:val="3E3E3E"/>
        </w:rPr>
        <w:lastRenderedPageBreak/>
        <w:drawing>
          <wp:inline distT="0" distB="0" distL="0" distR="0">
            <wp:extent cx="5391150" cy="2171700"/>
            <wp:effectExtent l="0" t="0" r="0" b="0"/>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2171700"/>
                    </a:xfrm>
                    <a:prstGeom prst="rect">
                      <a:avLst/>
                    </a:prstGeom>
                    <a:noFill/>
                    <a:ln>
                      <a:noFill/>
                    </a:ln>
                  </pic:spPr>
                </pic:pic>
              </a:graphicData>
            </a:graphic>
          </wp:inline>
        </w:drawing>
      </w:r>
    </w:p>
    <w:p w:rsidR="003351DF" w:rsidRPr="003B2FDE" w:rsidRDefault="003351DF" w:rsidP="003351DF">
      <w:pPr>
        <w:pStyle w:val="a6"/>
        <w:shd w:val="clear" w:color="auto" w:fill="FFFFFF"/>
        <w:spacing w:before="0" w:beforeAutospacing="0" w:after="0" w:afterAutospacing="0" w:line="384" w:lineRule="atLeast"/>
        <w:ind w:left="120" w:right="120"/>
        <w:jc w:val="both"/>
        <w:rPr>
          <w:rFonts w:ascii="微软雅黑" w:eastAsia="微软雅黑" w:hAnsi="微软雅黑"/>
          <w:color w:val="3E3E3E"/>
          <w:sz w:val="16"/>
          <w:szCs w:val="16"/>
        </w:rPr>
      </w:pPr>
      <w:r w:rsidRPr="003B2FDE">
        <w:rPr>
          <w:rFonts w:ascii="微软雅黑" w:eastAsia="微软雅黑" w:hAnsi="微软雅黑"/>
          <w:color w:val="3E3E3E"/>
          <w:sz w:val="16"/>
          <w:szCs w:val="16"/>
        </w:rPr>
        <w:fldChar w:fldCharType="begin"/>
      </w:r>
      <w:r w:rsidRPr="003B2FDE">
        <w:rPr>
          <w:rFonts w:ascii="微软雅黑" w:eastAsia="微软雅黑" w:hAnsi="微软雅黑"/>
          <w:color w:val="3E3E3E"/>
          <w:sz w:val="16"/>
          <w:szCs w:val="16"/>
        </w:rPr>
        <w:instrText xml:space="preserve"> INCLUDEPICTURE "https://mmbiz.qpic.cn/mmbiz_png/hhKxISfrLsJRV0og6yE4G3jfAZ0DgiaMyEjJLLHP2dgEb85VCPmdfMePF1vGjWT3juroLqdzq5JcOsDh4HUa1wQ/640?wx_fmt=png&amp;tp=webp&amp;wxfrom=5&amp;wx_lazy=1" \* MERGEFORMATINET </w:instrText>
      </w:r>
      <w:r w:rsidRPr="003B2FDE">
        <w:rPr>
          <w:rFonts w:ascii="微软雅黑" w:eastAsia="微软雅黑" w:hAnsi="微软雅黑"/>
          <w:color w:val="3E3E3E"/>
          <w:sz w:val="16"/>
          <w:szCs w:val="16"/>
        </w:rPr>
        <w:fldChar w:fldCharType="separate"/>
      </w:r>
      <w:r w:rsidR="00AC1C88">
        <w:rPr>
          <w:rFonts w:ascii="微软雅黑" w:eastAsia="微软雅黑" w:hAnsi="微软雅黑"/>
          <w:color w:val="3E3E3E"/>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rsidRPr="003B2FDE">
        <w:rPr>
          <w:rFonts w:ascii="微软雅黑" w:eastAsia="微软雅黑" w:hAnsi="微软雅黑"/>
          <w:color w:val="3E3E3E"/>
          <w:sz w:val="16"/>
          <w:szCs w:val="16"/>
        </w:rPr>
        <w:fldChar w:fldCharType="end"/>
      </w:r>
      <w:r w:rsidRPr="003B2FDE">
        <w:rPr>
          <w:rFonts w:ascii="微软雅黑" w:eastAsia="微软雅黑" w:hAnsi="微软雅黑"/>
          <w:color w:val="3E3E3E"/>
          <w:sz w:val="16"/>
          <w:szCs w:val="16"/>
        </w:rPr>
        <w:t>本研究中，研究人员将SUMO化修饰途径基因</w:t>
      </w:r>
      <w:r w:rsidRPr="003B2FDE">
        <w:rPr>
          <w:rStyle w:val="a9"/>
          <w:rFonts w:ascii="微软雅黑" w:eastAsia="微软雅黑" w:hAnsi="微软雅黑"/>
          <w:color w:val="3E3E3E"/>
          <w:sz w:val="16"/>
          <w:szCs w:val="16"/>
        </w:rPr>
        <w:t>SMT3</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SUMO</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AOS1</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E1</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UBA2</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E1</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UBC9</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E2</w:t>
      </w:r>
      <w:r w:rsidRPr="003B2FDE">
        <w:rPr>
          <w:rFonts w:ascii="微软雅黑" w:eastAsia="微软雅黑" w:hAnsi="微软雅黑"/>
          <w:color w:val="3E3E3E"/>
          <w:sz w:val="16"/>
          <w:szCs w:val="16"/>
        </w:rPr>
        <w:t>）和</w:t>
      </w:r>
      <w:r w:rsidRPr="003B2FDE">
        <w:rPr>
          <w:rStyle w:val="a9"/>
          <w:rFonts w:ascii="微软雅黑" w:eastAsia="微软雅黑" w:hAnsi="微软雅黑"/>
          <w:color w:val="3E3E3E"/>
          <w:sz w:val="16"/>
          <w:szCs w:val="16"/>
        </w:rPr>
        <w:t>SIZ1</w:t>
      </w:r>
      <w:r w:rsidRPr="003B2FDE">
        <w:rPr>
          <w:rFonts w:ascii="微软雅黑" w:eastAsia="微软雅黑" w:hAnsi="微软雅黑"/>
          <w:color w:val="3E3E3E"/>
          <w:sz w:val="16"/>
          <w:szCs w:val="16"/>
        </w:rPr>
        <w:t>（</w:t>
      </w:r>
      <w:r w:rsidRPr="003B2FDE">
        <w:rPr>
          <w:rStyle w:val="a9"/>
          <w:rFonts w:ascii="微软雅黑" w:eastAsia="微软雅黑" w:hAnsi="微软雅黑"/>
          <w:color w:val="3E3E3E"/>
          <w:sz w:val="16"/>
          <w:szCs w:val="16"/>
        </w:rPr>
        <w:t>E3</w:t>
      </w:r>
      <w:r w:rsidRPr="003B2FDE">
        <w:rPr>
          <w:rFonts w:ascii="微软雅黑" w:eastAsia="微软雅黑" w:hAnsi="微软雅黑"/>
          <w:color w:val="3E3E3E"/>
          <w:sz w:val="16"/>
          <w:szCs w:val="16"/>
        </w:rPr>
        <w:t>）敲除后，均引起稻瘟菌生长变慢，产孢量降低，分生孢子梗形成受阻，表明SUMO化修饰在稻瘟菌生长和产孢等发育过程中均起重要调控作用。这些基因敲除还会引起菌丝细胞变短，分生孢子隔膜变少，以及附着胞核分裂异常等表型，表明SUMO化修饰在稻瘟菌细胞周期相关生物学过程起重要调控作用。进一步还发现，这些敲除体对细胞壁抑制剂，渗透压，活性氧，碱性pH等环境压力均表现出不同程度的敏感，同时各种环境压力均可诱导野生型菌株SUMO化水平升高，表明SUMO化修饰在环境响应过程中起重要调控作用。通过SUMO化修饰蛋白组学分析，鉴定到940个SUMO修饰候选靶标蛋白，生物信息学分析表明它们参与大量与上述表型相关的生物学过程，而且大量已报道的稻瘟菌致病相关蛋白可能是SUMO修饰的靶标蛋白，包括营养储存，环境响应，细胞周期以及信号传导等过程相关的蛋白。</w:t>
      </w:r>
    </w:p>
    <w:p w:rsidR="003351DF" w:rsidRDefault="003351DF" w:rsidP="003351DF">
      <w:pPr>
        <w:pStyle w:val="a6"/>
        <w:shd w:val="clear" w:color="auto" w:fill="FFFFFF"/>
        <w:spacing w:before="0" w:beforeAutospacing="0" w:after="0" w:afterAutospacing="0" w:line="384" w:lineRule="atLeast"/>
        <w:ind w:left="120" w:right="120"/>
        <w:jc w:val="both"/>
        <w:rPr>
          <w:rFonts w:ascii="Helvetica" w:hAnsi="Helvetica"/>
          <w:color w:val="3E3E3E"/>
        </w:rPr>
      </w:pPr>
      <w:r>
        <w:rPr>
          <w:rFonts w:ascii="Helvetica" w:hAnsi="Helvetica"/>
          <w:noProof/>
          <w:color w:val="3E3E3E"/>
          <w:sz w:val="23"/>
          <w:szCs w:val="23"/>
        </w:rPr>
        <w:drawing>
          <wp:inline distT="0" distB="0" distL="0" distR="0">
            <wp:extent cx="5391150" cy="1847850"/>
            <wp:effectExtent l="0" t="0" r="0" b="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847850"/>
                    </a:xfrm>
                    <a:prstGeom prst="rect">
                      <a:avLst/>
                    </a:prstGeom>
                    <a:noFill/>
                    <a:ln>
                      <a:noFill/>
                    </a:ln>
                  </pic:spPr>
                </pic:pic>
              </a:graphicData>
            </a:graphic>
          </wp:inline>
        </w:drawing>
      </w:r>
    </w:p>
    <w:p w:rsidR="003351DF" w:rsidRPr="003B2FDE" w:rsidRDefault="003351DF" w:rsidP="003351DF">
      <w:pPr>
        <w:pStyle w:val="a6"/>
        <w:shd w:val="clear" w:color="auto" w:fill="FFFFFF"/>
        <w:spacing w:before="0" w:beforeAutospacing="0" w:after="0" w:afterAutospacing="0" w:line="384" w:lineRule="atLeast"/>
        <w:ind w:leftChars="57" w:left="120" w:right="120" w:firstLineChars="200" w:firstLine="320"/>
        <w:jc w:val="both"/>
        <w:rPr>
          <w:rFonts w:ascii="微软雅黑" w:eastAsia="微软雅黑" w:hAnsi="微软雅黑"/>
          <w:color w:val="3E3E3E"/>
          <w:sz w:val="16"/>
          <w:szCs w:val="16"/>
        </w:rPr>
      </w:pPr>
      <w:r w:rsidRPr="003B2FDE">
        <w:rPr>
          <w:rFonts w:ascii="微软雅黑" w:eastAsia="微软雅黑" w:hAnsi="微软雅黑"/>
          <w:color w:val="3E3E3E"/>
          <w:sz w:val="16"/>
          <w:szCs w:val="16"/>
        </w:rPr>
        <w:t>进一步研究证明，SUMO化修饰可直接调控附着胞actin环形成相关的4个Septin蛋白的功能。</w:t>
      </w:r>
      <w:r w:rsidRPr="003B2FDE">
        <w:rPr>
          <w:rStyle w:val="a9"/>
          <w:rFonts w:ascii="微软雅黑" w:eastAsia="微软雅黑" w:hAnsi="微软雅黑"/>
          <w:color w:val="3E3E3E"/>
          <w:sz w:val="16"/>
          <w:szCs w:val="16"/>
        </w:rPr>
        <w:t>SUMO</w:t>
      </w:r>
      <w:r w:rsidRPr="003B2FDE">
        <w:rPr>
          <w:rFonts w:ascii="微软雅黑" w:eastAsia="微软雅黑" w:hAnsi="微软雅黑"/>
          <w:color w:val="3E3E3E"/>
          <w:sz w:val="16"/>
          <w:szCs w:val="16"/>
        </w:rPr>
        <w:t>基因敲除体中4个Septin蛋白修饰水平显著降低，且Septin蛋白的SUMO位点突变可导致修饰水平降低，致病力减弱，以及蛋白不能正常地定位于actin环，从而揭示了SUMO化修饰通过调控Septins定位于actin环来参与功能性附着胞的形成。同时还发现SUMO化修饰可以调控两种不同的效应蛋白分泌途径。在SUMO基因敲除体中，定位于侵染菌丝BIC结构的效应蛋白Avr-Pia和Avr-Piz-t，以及定位于EIHM膜的效应蛋白Slp1均不能被正常分泌，由于这些效应蛋白不含SUMO位点，因此SUMO化修饰可间接调控效应蛋白的分泌。SUMO可能通过直接调控分泌系统的分子伴侣蛋白（如KAR2）来参与不同效应蛋白的分泌，帮助病原真菌突破寄主防卫机制，成功侵染寄主。</w:t>
      </w:r>
    </w:p>
    <w:p w:rsidR="003351DF" w:rsidRDefault="003351DF" w:rsidP="003351DF">
      <w:pPr>
        <w:pStyle w:val="a6"/>
        <w:shd w:val="clear" w:color="auto" w:fill="FFFFFF"/>
        <w:spacing w:before="0" w:beforeAutospacing="0" w:after="0" w:afterAutospacing="0" w:line="384" w:lineRule="atLeast"/>
        <w:ind w:left="120" w:right="120"/>
        <w:jc w:val="both"/>
        <w:rPr>
          <w:rFonts w:ascii="Helvetica" w:hAnsi="Helvetica"/>
          <w:color w:val="3E3E3E"/>
        </w:rPr>
      </w:pPr>
      <w:r>
        <w:rPr>
          <w:rFonts w:ascii="Helvetica" w:hAnsi="Helvetica"/>
          <w:noProof/>
          <w:color w:val="3E3E3E"/>
        </w:rPr>
        <w:lastRenderedPageBreak/>
        <w:drawing>
          <wp:inline distT="0" distB="0" distL="0" distR="0">
            <wp:extent cx="3810000" cy="2800350"/>
            <wp:effectExtent l="0" t="0" r="0" b="0"/>
            <wp:docPr id="4" name="图片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00350"/>
                    </a:xfrm>
                    <a:prstGeom prst="rect">
                      <a:avLst/>
                    </a:prstGeom>
                    <a:noFill/>
                    <a:ln>
                      <a:noFill/>
                    </a:ln>
                  </pic:spPr>
                </pic:pic>
              </a:graphicData>
            </a:graphic>
          </wp:inline>
        </w:drawing>
      </w:r>
    </w:p>
    <w:p w:rsidR="003351DF" w:rsidRPr="003B2FDE" w:rsidRDefault="003351DF" w:rsidP="003351DF">
      <w:pPr>
        <w:pStyle w:val="a6"/>
        <w:shd w:val="clear" w:color="auto" w:fill="FFFFFF"/>
        <w:spacing w:before="0" w:beforeAutospacing="0" w:after="0" w:afterAutospacing="0" w:line="384" w:lineRule="atLeast"/>
        <w:ind w:leftChars="57" w:left="120" w:right="120" w:firstLineChars="196" w:firstLine="314"/>
        <w:jc w:val="both"/>
        <w:rPr>
          <w:rFonts w:ascii="微软雅黑" w:eastAsia="微软雅黑" w:hAnsi="微软雅黑"/>
          <w:color w:val="3E3E3E"/>
          <w:sz w:val="16"/>
          <w:szCs w:val="16"/>
        </w:rPr>
      </w:pPr>
      <w:r w:rsidRPr="003B2FDE">
        <w:rPr>
          <w:rStyle w:val="a7"/>
          <w:rFonts w:ascii="微软雅黑" w:eastAsia="微软雅黑" w:hAnsi="微软雅黑"/>
          <w:color w:val="3E3E3E"/>
          <w:sz w:val="16"/>
          <w:szCs w:val="16"/>
        </w:rPr>
        <w:t>本研究首次在植物病原真菌中系统深入地解析了SUMO化修饰的生物学功能及其调控机制，同时还发现SUMO化修饰调控附着胞actin环的形成和效应蛋白分泌是其参与致病过程调控的关键机制。</w:t>
      </w:r>
    </w:p>
    <w:p w:rsidR="003351DF" w:rsidRPr="003B2FDE" w:rsidRDefault="003351DF" w:rsidP="003351DF">
      <w:pPr>
        <w:pStyle w:val="a6"/>
        <w:shd w:val="clear" w:color="auto" w:fill="FFFFFF"/>
        <w:spacing w:before="0" w:beforeAutospacing="0" w:after="0" w:afterAutospacing="0" w:line="384" w:lineRule="atLeast"/>
        <w:ind w:leftChars="57" w:left="120" w:right="120" w:firstLineChars="200" w:firstLine="320"/>
        <w:jc w:val="both"/>
        <w:rPr>
          <w:rFonts w:ascii="微软雅黑" w:eastAsia="微软雅黑" w:hAnsi="微软雅黑"/>
          <w:color w:val="3E3E3E"/>
          <w:sz w:val="16"/>
          <w:szCs w:val="16"/>
        </w:rPr>
      </w:pPr>
      <w:r w:rsidRPr="003B2FDE">
        <w:rPr>
          <w:rFonts w:ascii="微软雅黑" w:eastAsia="微软雅黑" w:hAnsi="微软雅黑"/>
          <w:color w:val="3E3E3E"/>
          <w:sz w:val="16"/>
          <w:szCs w:val="16"/>
        </w:rPr>
        <w:t>植物科学技术学院2016级硕士研究生</w:t>
      </w:r>
      <w:r w:rsidRPr="003B2FDE">
        <w:rPr>
          <w:rStyle w:val="a7"/>
          <w:rFonts w:ascii="微软雅黑" w:eastAsia="微软雅黑" w:hAnsi="微软雅黑"/>
          <w:color w:val="3E3E3E"/>
          <w:sz w:val="16"/>
          <w:szCs w:val="16"/>
        </w:rPr>
        <w:t>刘彩云</w:t>
      </w:r>
      <w:r w:rsidRPr="003B2FDE">
        <w:rPr>
          <w:rFonts w:ascii="微软雅黑" w:eastAsia="微软雅黑" w:hAnsi="微软雅黑"/>
          <w:color w:val="3E3E3E"/>
          <w:sz w:val="16"/>
          <w:szCs w:val="16"/>
        </w:rPr>
        <w:t>和毕业于中国农业大学的</w:t>
      </w:r>
      <w:r w:rsidRPr="003B2FDE">
        <w:rPr>
          <w:rStyle w:val="a7"/>
          <w:rFonts w:ascii="微软雅黑" w:eastAsia="微软雅黑" w:hAnsi="微软雅黑"/>
          <w:color w:val="3E3E3E"/>
          <w:sz w:val="16"/>
          <w:szCs w:val="16"/>
        </w:rPr>
        <w:t>李志刚</w:t>
      </w:r>
      <w:r w:rsidRPr="003B2FDE">
        <w:rPr>
          <w:rFonts w:ascii="微软雅黑" w:eastAsia="微软雅黑" w:hAnsi="微软雅黑"/>
          <w:color w:val="3E3E3E"/>
          <w:sz w:val="16"/>
          <w:szCs w:val="16"/>
        </w:rPr>
        <w:t>博士为该论文的共同第一作者，</w:t>
      </w:r>
      <w:r w:rsidRPr="003B2FDE">
        <w:rPr>
          <w:rStyle w:val="a7"/>
          <w:rFonts w:ascii="微软雅黑" w:eastAsia="微软雅黑" w:hAnsi="微软雅黑"/>
          <w:color w:val="3E3E3E"/>
          <w:sz w:val="16"/>
          <w:szCs w:val="16"/>
        </w:rPr>
        <w:t>陈小林</w:t>
      </w:r>
      <w:r w:rsidRPr="003B2FDE">
        <w:rPr>
          <w:rFonts w:ascii="微软雅黑" w:eastAsia="微软雅黑" w:hAnsi="微软雅黑"/>
          <w:color w:val="3E3E3E"/>
          <w:sz w:val="16"/>
          <w:szCs w:val="16"/>
        </w:rPr>
        <w:t>副教授为通讯作者。项目得到国家自然科学基金 (31571952)和校自主创新基金 (2662015PY085)资助。</w:t>
      </w:r>
    </w:p>
    <w:p w:rsidR="003351DF" w:rsidRPr="003B2FDE" w:rsidRDefault="003351DF" w:rsidP="003351DF">
      <w:pPr>
        <w:pStyle w:val="a6"/>
        <w:shd w:val="clear" w:color="auto" w:fill="FFFFFF"/>
        <w:spacing w:before="0" w:beforeAutospacing="0" w:after="0" w:afterAutospacing="0" w:line="384" w:lineRule="atLeast"/>
        <w:ind w:leftChars="57" w:left="120" w:right="120" w:firstLineChars="200" w:firstLine="320"/>
        <w:jc w:val="both"/>
        <w:rPr>
          <w:rFonts w:ascii="Helvetica" w:hAnsi="Helvetica"/>
          <w:color w:val="3E3E3E"/>
          <w:sz w:val="16"/>
          <w:szCs w:val="16"/>
        </w:rPr>
      </w:pPr>
      <w:r w:rsidRPr="003B2FDE">
        <w:rPr>
          <w:rFonts w:ascii="微软雅黑" w:eastAsia="微软雅黑" w:hAnsi="微软雅黑" w:hint="eastAsia"/>
          <w:sz w:val="16"/>
          <w:szCs w:val="16"/>
        </w:rPr>
        <w:t>论文链接：</w:t>
      </w:r>
      <w:hyperlink r:id="rId9" w:tgtFrame="_blank" w:history="1">
        <w:r w:rsidRPr="003B2FDE">
          <w:rPr>
            <w:rStyle w:val="a8"/>
            <w:rFonts w:ascii="微软雅黑" w:eastAsia="微软雅黑" w:hAnsi="微软雅黑" w:hint="eastAsia"/>
            <w:sz w:val="16"/>
            <w:szCs w:val="16"/>
          </w:rPr>
          <w:t>https://nph.onlinelibrary.wiley.com/doi/full/10.1111/nph.15141</w:t>
        </w:r>
      </w:hyperlink>
    </w:p>
    <w:p w:rsidR="003351DF" w:rsidRPr="00926950" w:rsidRDefault="003351DF" w:rsidP="003351DF">
      <w:pPr>
        <w:jc w:val="center"/>
        <w:rPr>
          <w:rFonts w:ascii="微软雅黑" w:eastAsia="微软雅黑" w:hAnsi="微软雅黑" w:cs="微软雅黑"/>
          <w:color w:val="000000"/>
          <w:kern w:val="0"/>
          <w:sz w:val="14"/>
          <w:szCs w:val="14"/>
          <w:shd w:val="clear" w:color="auto" w:fill="FFFFFF"/>
          <w:lang w:bidi="ar"/>
        </w:rPr>
      </w:pPr>
    </w:p>
    <w:p w:rsidR="003351DF" w:rsidRPr="00381C02" w:rsidRDefault="003351DF" w:rsidP="003351DF">
      <w:pPr>
        <w:jc w:val="center"/>
        <w:rPr>
          <w:rFonts w:ascii="微软雅黑" w:eastAsia="微软雅黑" w:hAnsi="微软雅黑" w:cs="微软雅黑"/>
          <w:b/>
          <w:color w:val="000000"/>
          <w:sz w:val="24"/>
          <w:szCs w:val="24"/>
          <w:shd w:val="clear" w:color="auto" w:fill="FFFFFF"/>
        </w:rPr>
      </w:pPr>
    </w:p>
    <w:p w:rsidR="003351DF" w:rsidRDefault="003351DF" w:rsidP="003351DF">
      <w:pPr>
        <w:jc w:val="center"/>
        <w:rPr>
          <w:rFonts w:ascii="微软雅黑" w:eastAsia="微软雅黑" w:hAnsi="微软雅黑" w:cs="微软雅黑"/>
          <w:b/>
          <w:color w:val="000000"/>
          <w:sz w:val="24"/>
          <w:szCs w:val="24"/>
          <w:shd w:val="clear" w:color="auto" w:fill="FFFFFF"/>
        </w:rPr>
      </w:pPr>
      <w:r>
        <w:rPr>
          <w:rFonts w:ascii="微软雅黑" w:eastAsia="微软雅黑" w:hAnsi="微软雅黑" w:cs="微软雅黑" w:hint="eastAsia"/>
          <w:b/>
          <w:color w:val="000000"/>
          <w:sz w:val="24"/>
          <w:szCs w:val="24"/>
          <w:shd w:val="clear" w:color="auto" w:fill="FFFFFF"/>
        </w:rPr>
        <w:t>我国学者在醛固酮与血管钙化领域研究中取得新进展</w:t>
      </w:r>
    </w:p>
    <w:p w:rsidR="003351DF" w:rsidRDefault="003351DF" w:rsidP="003351DF">
      <w:pPr>
        <w:widowControl/>
        <w:pBdr>
          <w:top w:val="single" w:sz="4" w:space="0" w:color="999999"/>
          <w:bottom w:val="single" w:sz="4" w:space="0" w:color="999999"/>
        </w:pBdr>
        <w:shd w:val="clear" w:color="auto" w:fill="FFFFFF"/>
        <w:spacing w:line="360" w:lineRule="atLeast"/>
        <w:jc w:val="center"/>
        <w:rPr>
          <w:rFonts w:ascii="微软雅黑" w:eastAsia="微软雅黑" w:hAnsi="微软雅黑" w:cs="微软雅黑"/>
          <w:color w:val="000000"/>
          <w:kern w:val="0"/>
          <w:sz w:val="14"/>
          <w:szCs w:val="14"/>
          <w:shd w:val="clear" w:color="auto" w:fill="FFFFFF"/>
          <w:lang w:bidi="ar"/>
        </w:rPr>
      </w:pPr>
      <w:r>
        <w:rPr>
          <w:rFonts w:ascii="微软雅黑" w:eastAsia="微软雅黑" w:hAnsi="微软雅黑" w:cs="微软雅黑" w:hint="eastAsia"/>
          <w:color w:val="000000"/>
          <w:kern w:val="0"/>
          <w:sz w:val="14"/>
          <w:szCs w:val="14"/>
          <w:shd w:val="clear" w:color="auto" w:fill="FFFFFF"/>
          <w:lang w:bidi="ar"/>
        </w:rPr>
        <w:t>作者：王蕊 李萃</w:t>
      </w:r>
    </w:p>
    <w:p w:rsidR="003351DF" w:rsidRDefault="003351DF" w:rsidP="003351DF">
      <w:pPr>
        <w:jc w:val="center"/>
        <w:rPr>
          <w:rFonts w:ascii="宋体" w:hAnsi="宋体" w:cs="宋体"/>
          <w:kern w:val="0"/>
          <w:sz w:val="24"/>
          <w:szCs w:val="24"/>
          <w:lang w:bidi="ar"/>
        </w:rPr>
      </w:pPr>
      <w:r w:rsidRPr="00C608B9">
        <w:rPr>
          <w:rFonts w:ascii="宋体" w:hAnsi="宋体" w:cs="宋体"/>
          <w:noProof/>
          <w:kern w:val="0"/>
          <w:sz w:val="24"/>
          <w:szCs w:val="24"/>
        </w:rPr>
        <w:drawing>
          <wp:inline distT="0" distB="0" distL="0" distR="0">
            <wp:extent cx="3209925" cy="22574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2257425"/>
                    </a:xfrm>
                    <a:prstGeom prst="rect">
                      <a:avLst/>
                    </a:prstGeom>
                    <a:noFill/>
                    <a:ln>
                      <a:noFill/>
                    </a:ln>
                  </pic:spPr>
                </pic:pic>
              </a:graphicData>
            </a:graphic>
          </wp:inline>
        </w:drawing>
      </w:r>
    </w:p>
    <w:p w:rsidR="003351DF" w:rsidRPr="00381C02" w:rsidRDefault="003351DF" w:rsidP="003351DF">
      <w:pPr>
        <w:jc w:val="center"/>
        <w:rPr>
          <w:rFonts w:ascii="宋体" w:hAnsi="宋体" w:cs="宋体"/>
          <w:kern w:val="0"/>
          <w:sz w:val="16"/>
          <w:szCs w:val="16"/>
          <w:lang w:bidi="ar"/>
        </w:rPr>
      </w:pPr>
      <w:r w:rsidRPr="00381C02">
        <w:rPr>
          <w:rFonts w:ascii="微软雅黑" w:eastAsia="微软雅黑" w:hAnsi="微软雅黑" w:cs="微软雅黑" w:hint="eastAsia"/>
          <w:color w:val="000000"/>
          <w:kern w:val="0"/>
          <w:sz w:val="16"/>
          <w:szCs w:val="16"/>
          <w:shd w:val="clear" w:color="auto" w:fill="FFFFFF"/>
          <w:lang w:bidi="ar"/>
        </w:rPr>
        <w:t>图. 醛固酮在骨-血管轴中促进血管平滑肌细胞从收缩表型向成骨细胞表型转化的效应以及14-15EETs在其中的调节作用。</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宋体" w:hAnsi="宋体" w:cs="宋体" w:hint="eastAsia"/>
          <w:kern w:val="0"/>
          <w:sz w:val="16"/>
          <w:szCs w:val="16"/>
          <w:lang w:bidi="ar"/>
        </w:rPr>
        <w:t xml:space="preserve">　　</w:t>
      </w:r>
      <w:r w:rsidRPr="00381C02">
        <w:rPr>
          <w:rFonts w:ascii="微软雅黑" w:eastAsia="微软雅黑" w:hAnsi="微软雅黑" w:cs="微软雅黑" w:hint="eastAsia"/>
          <w:color w:val="000000"/>
          <w:kern w:val="0"/>
          <w:sz w:val="16"/>
          <w:szCs w:val="16"/>
          <w:shd w:val="clear" w:color="auto" w:fill="FFFFFF"/>
          <w:lang w:bidi="ar"/>
        </w:rPr>
        <w:t xml:space="preserve">在国家自然科学基金项目(项目编号：81670676、81422011、 81370837)等资助下，中山大学孙逸仙纪念医院黄辉教授和严励教授课题组，在醛固酮与血管钙化领域中开展研究并取得新进展，研究成果以“Downregulated Serum 14, 15-Epoxyeicosatrienoic Acid Is Associated With Abdominal Aortic Calcification in Patients With </w:t>
      </w:r>
      <w:r w:rsidRPr="00381C02">
        <w:rPr>
          <w:rFonts w:ascii="微软雅黑" w:eastAsia="微软雅黑" w:hAnsi="微软雅黑" w:cs="微软雅黑" w:hint="eastAsia"/>
          <w:color w:val="000000"/>
          <w:kern w:val="0"/>
          <w:sz w:val="16"/>
          <w:szCs w:val="16"/>
          <w:shd w:val="clear" w:color="auto" w:fill="FFFFFF"/>
          <w:lang w:bidi="ar"/>
        </w:rPr>
        <w:lastRenderedPageBreak/>
        <w:t>Primary Aldosteronism”（血清14,15-环氧化二十碳三烯酸（14,15-EET）水平下调与原发性醛固酮患者腹主动脉钙化发生率的相关性研究）为题，于2018年2月12日在Hypertension（《高血压》）上在线发表。 刘品明、张少玲、高静伟并列第一作者，黄辉和严励教授为文章的共同通讯作者，单位均为中山大学孙逸仙纪念医院。论文链接:http://hyper.ahajournals.org/cgi/ pmidlookup?view=reprint&amp;pmid=29440332。</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微软雅黑" w:hint="eastAsia"/>
          <w:color w:val="000000"/>
          <w:kern w:val="0"/>
          <w:sz w:val="16"/>
          <w:szCs w:val="16"/>
          <w:shd w:val="clear" w:color="auto" w:fill="FFFFFF"/>
          <w:lang w:bidi="ar"/>
        </w:rPr>
        <w:t xml:space="preserve">　　慢性肾脏疾病（Chronic Kidney Diseases, CKD）发病率在全球呈逐年上升趋势，我国成年人CKD患病率为10.8%(大约1.2亿)。尽管血液净化技术日新月异，但死亡率仍逐年攀升，现已明确导致CKD 患者死亡最主要的原因是心血管并发症。该课题组的系列研究发现血管钙化在其中可能发挥更为重要作用。但目前针对血管钙化的治疗效果不理想，无论是药物、血管介入或外科手术都不能有效逆转，血管钙化发病机制是高血压和肾脏病领域的重要研究方向。</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微软雅黑" w:hint="eastAsia"/>
          <w:color w:val="000000"/>
          <w:kern w:val="0"/>
          <w:sz w:val="16"/>
          <w:szCs w:val="16"/>
          <w:shd w:val="clear" w:color="auto" w:fill="FFFFFF"/>
          <w:lang w:bidi="ar"/>
        </w:rPr>
        <w:t xml:space="preserve">　　肾素-血管紧张素-醛固酮系统（Renin-Angiotensin-Aldosterone System, RAAS）在CKD和心血管疾病的进程中都扮演极为重要的角色，表现为在心肾疾病中，RAAS均呈现过度激活，而增高的血管紧张素II和醛固酮是其中最为重要的效应分子，RAAS与血管钙化的关系一直也是人们研究的热点。近年来研究发现，醛固酮能促进血管局部氧化应激、炎症，导致血管重构，但是醛固酮与血管钙化的关系一直有极大争议，尤其是缺乏人群研究的直接证据。另外，由于血浆醛固酮水平和血管钙化发生率在CKD中都显著上升，因此要在CKD明确两者是因果关系或并行关系有困难。该课题组分析高血压人群数据，发现醛固酮与冠状动脉钙化并无关系。但是在肾功能受损的高血压人群中，随着血浆醛固酮水平的增高，血管钙化呈上升趋势。与年龄、血压和肾功能匹配的高血压患者相比，在肾功能受损原发性醛固酮增多症患者中，血浆骨形态发生蛋白等成骨因子明显升高，而腹主动脉钙化的发生率几乎增加一倍( 39.1% vs 20.3%,P=0.023)。这说明在肾功能受损的环境下，醛固酮具有促血管钙化的作用。此外还发现在腹主动脉钙化人群伴有14,15-二羟二十碳三烯酸（14,15-DHET）水平增高，而14,15-DHET是花生四烯酸细胞色素P450表氧化酶代谢产物14,15-EETs的降解物，该课题组长期从事这一通路的转化研究，也旁证调控14,15-EETs可能成为肾脏和心血管疾病的重要干预靶标。</w:t>
      </w:r>
    </w:p>
    <w:p w:rsidR="003351DF" w:rsidRPr="00381C02" w:rsidRDefault="003351DF" w:rsidP="003351DF">
      <w:pPr>
        <w:jc w:val="left"/>
        <w:rPr>
          <w:rFonts w:ascii="微软雅黑" w:eastAsia="微软雅黑" w:hAnsi="微软雅黑"/>
          <w:sz w:val="16"/>
          <w:szCs w:val="16"/>
        </w:rPr>
      </w:pPr>
      <w:r w:rsidRPr="00381C02">
        <w:rPr>
          <w:rFonts w:ascii="微软雅黑" w:eastAsia="微软雅黑" w:hAnsi="微软雅黑" w:cs="微软雅黑" w:hint="eastAsia"/>
          <w:color w:val="000000"/>
          <w:kern w:val="0"/>
          <w:sz w:val="16"/>
          <w:szCs w:val="16"/>
          <w:shd w:val="clear" w:color="auto" w:fill="FFFFFF"/>
          <w:lang w:bidi="ar"/>
        </w:rPr>
        <w:t xml:space="preserve">　　该研究首次在人群中证实了醛固酮和血管钙化的正相关关系，而且发现在肾功能受损提供的微环境下，醛固酮将发挥显著促进血管钙化的作用，同时找到了一个潜在的干预靶点14,15-EET，提供了全新角度去探讨醛固酮与血管钙化进展的关系，研究成果有望为血管钙化的治疗策略提供新思路。</w:t>
      </w:r>
    </w:p>
    <w:p w:rsidR="003351DF" w:rsidRDefault="003351DF" w:rsidP="003351DF">
      <w:pPr>
        <w:pStyle w:val="a6"/>
        <w:shd w:val="clear" w:color="auto" w:fill="FFFFFF"/>
        <w:spacing w:line="450" w:lineRule="atLeast"/>
        <w:rPr>
          <w:rFonts w:ascii="仿宋_GB2312" w:eastAsia="仿宋_GB2312"/>
          <w:sz w:val="32"/>
          <w:szCs w:val="32"/>
        </w:rPr>
      </w:pPr>
    </w:p>
    <w:p w:rsidR="003351DF" w:rsidRDefault="003351DF" w:rsidP="003351DF">
      <w:pPr>
        <w:jc w:val="center"/>
        <w:rPr>
          <w:rFonts w:ascii="微软雅黑" w:eastAsia="微软雅黑" w:hAnsi="微软雅黑" w:cs="微软雅黑"/>
          <w:b/>
          <w:color w:val="000000"/>
          <w:sz w:val="24"/>
          <w:szCs w:val="24"/>
          <w:shd w:val="clear" w:color="auto" w:fill="FFFFFF"/>
        </w:rPr>
      </w:pPr>
      <w:r>
        <w:rPr>
          <w:rFonts w:ascii="微软雅黑" w:eastAsia="微软雅黑" w:hAnsi="微软雅黑" w:cs="微软雅黑" w:hint="eastAsia"/>
          <w:b/>
          <w:color w:val="000000"/>
          <w:sz w:val="24"/>
          <w:szCs w:val="24"/>
          <w:shd w:val="clear" w:color="auto" w:fill="FFFFFF"/>
        </w:rPr>
        <w:t>南开大学陈弓课题组在多肽大环合成领域获重要突破</w:t>
      </w:r>
    </w:p>
    <w:p w:rsidR="003351DF" w:rsidRDefault="003351DF" w:rsidP="003351DF">
      <w:pPr>
        <w:widowControl/>
        <w:pBdr>
          <w:top w:val="single" w:sz="4" w:space="0" w:color="999999"/>
          <w:bottom w:val="single" w:sz="4" w:space="0" w:color="999999"/>
        </w:pBdr>
        <w:shd w:val="clear" w:color="auto" w:fill="FFFFFF"/>
        <w:spacing w:line="360" w:lineRule="atLeast"/>
        <w:jc w:val="center"/>
        <w:rPr>
          <w:rFonts w:ascii="微软雅黑" w:eastAsia="微软雅黑" w:hAnsi="微软雅黑" w:cs="微软雅黑"/>
          <w:color w:val="000000"/>
          <w:kern w:val="0"/>
          <w:sz w:val="14"/>
          <w:szCs w:val="14"/>
          <w:shd w:val="clear" w:color="auto" w:fill="FFFFFF"/>
          <w:lang w:bidi="ar"/>
        </w:rPr>
      </w:pPr>
      <w:r>
        <w:rPr>
          <w:rFonts w:ascii="微软雅黑" w:eastAsia="微软雅黑" w:hAnsi="微软雅黑" w:cs="微软雅黑" w:hint="eastAsia"/>
          <w:color w:val="000000"/>
          <w:kern w:val="0"/>
          <w:sz w:val="14"/>
          <w:szCs w:val="14"/>
          <w:shd w:val="clear" w:color="auto" w:fill="FFFFFF"/>
          <w:lang w:bidi="ar"/>
        </w:rPr>
        <w:t>作者：康强 黄宝晟 陈拥军</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宋体" w:hint="eastAsia"/>
          <w:kern w:val="0"/>
          <w:sz w:val="16"/>
          <w:szCs w:val="16"/>
        </w:rPr>
        <w:t xml:space="preserve">　　</w:t>
      </w:r>
      <w:r w:rsidRPr="00381C02">
        <w:rPr>
          <w:rFonts w:ascii="微软雅黑" w:eastAsia="微软雅黑" w:hAnsi="微软雅黑" w:cs="微软雅黑" w:hint="eastAsia"/>
          <w:color w:val="000000"/>
          <w:kern w:val="0"/>
          <w:sz w:val="16"/>
          <w:szCs w:val="16"/>
          <w:shd w:val="clear" w:color="auto" w:fill="FFFFFF"/>
          <w:lang w:bidi="ar"/>
        </w:rPr>
        <w:t>在国家自然科学基金项目 (项目编号：21672105, 21421062) 等资助下，南开大学元素有机化学国家重点实验室陈弓课题组开发了一种强力的环状多肽化合物的化学合成方法，让“高难度多肽成环”反应实现高效、可控。研究成果以“A General Strategy for Synthesis of Cyclophane-braced Peptide Macrocycles via Palladium-catalysed Intramolecular sp3C−H Arylation”（一个基于钯催化分子内碳氢键芳基化来合成带有环芳支架环多肽的通用策略）为题，于2018年 4月2日在Nature Chemistry（《自然·化学》）上发表，论文链接：https://www.nature.com/articles/s41557-018-0006-y。</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微软雅黑" w:hint="eastAsia"/>
          <w:color w:val="000000"/>
          <w:kern w:val="0"/>
          <w:sz w:val="16"/>
          <w:szCs w:val="16"/>
          <w:shd w:val="clear" w:color="auto" w:fill="FFFFFF"/>
          <w:lang w:bidi="ar"/>
        </w:rPr>
        <w:t xml:space="preserve">　　近年来，为应对新药开发中日益重要的生物靶点研究，探索构建“大环骨架”分子结构在药物化学领域备受关注。与传统的小分子化合物相比，多肽类化合物在构建体积更大的分子构架上有着独特的优势和潜力。既有研究表明，让链状的多肽成环可以在结构坚固性、细胞跨膜性、代谢稳定性等多个方面显著提高多肽的成药性。然而，如何让这些“大个头”的多肽分子“定形”为理想的三维结构并具有良好的药理性质还面临巨大的挑战。</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微软雅黑" w:hint="eastAsia"/>
          <w:color w:val="000000"/>
          <w:kern w:val="0"/>
          <w:sz w:val="16"/>
          <w:szCs w:val="16"/>
          <w:shd w:val="clear" w:color="auto" w:fill="FFFFFF"/>
          <w:lang w:bidi="ar"/>
        </w:rPr>
        <w:t xml:space="preserve">　　链状多肽底物能否成环通常很依赖于其氨基酸的组成和最终成环的大小。很多链状多肽十分“倔强”，再怎么“使劲”也无法将其扣成环，要想解决这些问题需要发展非常规的策略。受环肽天然产物生物合成的启发，陈弓课题组通过金属催化对链状多肽底物上惰性的烷基碳氢键进行选择性活化，并和带有碘取代的芳香氨基酸侧链进行分子内</w:t>
      </w:r>
      <w:r w:rsidRPr="00381C02">
        <w:rPr>
          <w:rFonts w:ascii="微软雅黑" w:eastAsia="微软雅黑" w:hAnsi="微软雅黑" w:cs="微软雅黑" w:hint="eastAsia"/>
          <w:color w:val="000000"/>
          <w:kern w:val="0"/>
          <w:sz w:val="16"/>
          <w:szCs w:val="16"/>
          <w:shd w:val="clear" w:color="auto" w:fill="FFFFFF"/>
          <w:lang w:bidi="ar"/>
        </w:rPr>
        <w:lastRenderedPageBreak/>
        <w:t>偶联生成各种环状产物（图1）。该合成方法简洁、高效，底物适用范围广，且能够生成具有独特“苯环支撑架”结构的三维环肽骨架，为构建体积各异的环肽化合物提供了一条通用的途径。</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微软雅黑" w:hint="eastAsia"/>
          <w:color w:val="000000"/>
          <w:kern w:val="0"/>
          <w:sz w:val="16"/>
          <w:szCs w:val="16"/>
          <w:shd w:val="clear" w:color="auto" w:fill="FFFFFF"/>
          <w:lang w:bidi="ar"/>
        </w:rPr>
        <w:t xml:space="preserve">　　除大环外，具有超高环张力的小环环肽化合物也能通过上述方法高效制备。单晶结构显示，一些作为支撑结构的苯环在环张力作用下发生了罕见的弯曲，从原本的平面结构变成了“类船式”结构（图2）。使用该方法得到的12元环是目前人们能够制备得到的张力最大的非对称环撑苯环化合物，这个成环化学为原本非常难以制得的弯曲苯环化合物提供了一个高效、可靠的合成方法。</w:t>
      </w:r>
    </w:p>
    <w:p w:rsidR="003351DF" w:rsidRPr="00381C02" w:rsidRDefault="003351DF" w:rsidP="003351DF">
      <w:pPr>
        <w:jc w:val="left"/>
        <w:rPr>
          <w:rFonts w:ascii="微软雅黑" w:eastAsia="微软雅黑" w:hAnsi="微软雅黑" w:cs="微软雅黑"/>
          <w:color w:val="000000"/>
          <w:kern w:val="0"/>
          <w:sz w:val="16"/>
          <w:szCs w:val="16"/>
          <w:shd w:val="clear" w:color="auto" w:fill="FFFFFF"/>
          <w:lang w:bidi="ar"/>
        </w:rPr>
      </w:pPr>
      <w:r w:rsidRPr="00381C02">
        <w:rPr>
          <w:rFonts w:ascii="微软雅黑" w:eastAsia="微软雅黑" w:hAnsi="微软雅黑" w:cs="微软雅黑" w:hint="eastAsia"/>
          <w:color w:val="000000"/>
          <w:kern w:val="0"/>
          <w:sz w:val="16"/>
          <w:szCs w:val="16"/>
          <w:shd w:val="clear" w:color="auto" w:fill="FFFFFF"/>
          <w:lang w:bidi="ar"/>
        </w:rPr>
        <w:t xml:space="preserve">　　通过与美国Calibr生物医学研究中心沈卫军课题组合作，研究团队成功地从实验室随机制备的包含40余种结构的“小型分子库”中发现了一类对依赖于Myc因子的癌症细胞具有高活性和高选择性的先导药物化合物，进而为下游的药物开发奠定了基础。美国的匹茨堡大学的刘鹏教授课题组为该研究做了细致的反应机理计算工作，中国的北京生命科学研究所的齐湘兵课题组为该研究做了相关的药物细胞跨膜性测试工作。陈弓课题组及其合作伙伴希望通过后续对该成环反应和生物活性筛选进行深度挖掘，发现更多具有良好先导药物活性的新型环肽化合物，来应对目前具有挑战性的生物靶点，以推动相关多肽药物研发。</w:t>
      </w:r>
    </w:p>
    <w:p w:rsidR="003351DF" w:rsidRDefault="003351DF" w:rsidP="003351DF">
      <w:pPr>
        <w:widowControl/>
        <w:shd w:val="clear" w:color="auto" w:fill="FFFFFF"/>
        <w:spacing w:before="150" w:after="150" w:line="480" w:lineRule="auto"/>
        <w:jc w:val="center"/>
        <w:rPr>
          <w:rFonts w:ascii="微软雅黑" w:eastAsia="微软雅黑" w:hAnsi="微软雅黑" w:cs="宋体"/>
          <w:kern w:val="0"/>
          <w:sz w:val="18"/>
          <w:szCs w:val="18"/>
        </w:rPr>
      </w:pPr>
      <w:r w:rsidRPr="00C608B9">
        <w:rPr>
          <w:rFonts w:ascii="微软雅黑" w:eastAsia="微软雅黑" w:hAnsi="微软雅黑" w:cs="宋体"/>
          <w:noProof/>
          <w:kern w:val="0"/>
          <w:sz w:val="18"/>
          <w:szCs w:val="18"/>
        </w:rPr>
        <w:drawing>
          <wp:inline distT="0" distB="0" distL="0" distR="0">
            <wp:extent cx="3962400" cy="1276350"/>
            <wp:effectExtent l="0" t="0" r="0" b="0"/>
            <wp:docPr id="2" name="图片 2" descr="http://www.nsfc.gov.cn/Portals/0/images/news_images/tpxw2018-04-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sfc.gov.cn/Portals/0/images/news_images/tpxw2018-04-17-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1276350"/>
                    </a:xfrm>
                    <a:prstGeom prst="rect">
                      <a:avLst/>
                    </a:prstGeom>
                    <a:noFill/>
                    <a:ln>
                      <a:noFill/>
                    </a:ln>
                  </pic:spPr>
                </pic:pic>
              </a:graphicData>
            </a:graphic>
          </wp:inline>
        </w:drawing>
      </w:r>
    </w:p>
    <w:p w:rsidR="003351DF" w:rsidRDefault="003351DF" w:rsidP="003351DF">
      <w:pPr>
        <w:jc w:val="center"/>
        <w:rPr>
          <w:rFonts w:ascii="微软雅黑" w:eastAsia="微软雅黑" w:hAnsi="微软雅黑" w:cs="微软雅黑"/>
          <w:color w:val="000000"/>
          <w:kern w:val="0"/>
          <w:sz w:val="14"/>
          <w:szCs w:val="14"/>
          <w:shd w:val="clear" w:color="auto" w:fill="FFFFFF"/>
          <w:lang w:bidi="ar"/>
        </w:rPr>
      </w:pPr>
      <w:r>
        <w:rPr>
          <w:rFonts w:ascii="微软雅黑" w:eastAsia="微软雅黑" w:hAnsi="微软雅黑" w:cs="微软雅黑" w:hint="eastAsia"/>
          <w:color w:val="000000"/>
          <w:kern w:val="0"/>
          <w:sz w:val="14"/>
          <w:szCs w:val="14"/>
          <w:shd w:val="clear" w:color="auto" w:fill="FFFFFF"/>
          <w:lang w:bidi="ar"/>
        </w:rPr>
        <w:t>图1.基于钯催化碳氢键活化反应的新型多肽成环策略</w:t>
      </w:r>
    </w:p>
    <w:p w:rsidR="003351DF" w:rsidRDefault="003351DF" w:rsidP="003351DF">
      <w:pPr>
        <w:widowControl/>
        <w:shd w:val="clear" w:color="auto" w:fill="FFFFFF"/>
        <w:spacing w:before="150" w:after="150" w:line="480" w:lineRule="auto"/>
        <w:jc w:val="center"/>
        <w:rPr>
          <w:rFonts w:ascii="微软雅黑" w:eastAsia="微软雅黑" w:hAnsi="微软雅黑" w:cs="宋体"/>
          <w:kern w:val="0"/>
          <w:sz w:val="18"/>
          <w:szCs w:val="18"/>
        </w:rPr>
      </w:pPr>
      <w:r w:rsidRPr="00C608B9">
        <w:rPr>
          <w:rFonts w:ascii="微软雅黑" w:eastAsia="微软雅黑" w:hAnsi="微软雅黑" w:cs="宋体"/>
          <w:noProof/>
          <w:kern w:val="0"/>
          <w:sz w:val="18"/>
          <w:szCs w:val="18"/>
        </w:rPr>
        <w:drawing>
          <wp:inline distT="0" distB="0" distL="0" distR="0">
            <wp:extent cx="2990850" cy="1343025"/>
            <wp:effectExtent l="0" t="0" r="0" b="9525"/>
            <wp:docPr id="1" name="图片 1" descr="http://www.nsfc.gov.cn/Portals/0/images/news_images/tpxw2018-04-1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sfc.gov.cn/Portals/0/images/news_images/tpxw2018-04-17-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343025"/>
                    </a:xfrm>
                    <a:prstGeom prst="rect">
                      <a:avLst/>
                    </a:prstGeom>
                    <a:noFill/>
                    <a:ln>
                      <a:noFill/>
                    </a:ln>
                  </pic:spPr>
                </pic:pic>
              </a:graphicData>
            </a:graphic>
          </wp:inline>
        </w:drawing>
      </w:r>
    </w:p>
    <w:p w:rsidR="003351DF" w:rsidRDefault="003351DF" w:rsidP="003351DF">
      <w:pPr>
        <w:jc w:val="center"/>
        <w:rPr>
          <w:rFonts w:ascii="微软雅黑" w:eastAsia="微软雅黑" w:hAnsi="微软雅黑" w:cs="微软雅黑"/>
          <w:color w:val="000000"/>
          <w:kern w:val="0"/>
          <w:sz w:val="14"/>
          <w:szCs w:val="14"/>
          <w:shd w:val="clear" w:color="auto" w:fill="FFFFFF"/>
          <w:lang w:bidi="ar"/>
        </w:rPr>
      </w:pPr>
      <w:r>
        <w:rPr>
          <w:rFonts w:ascii="微软雅黑" w:eastAsia="微软雅黑" w:hAnsi="微软雅黑" w:cs="微软雅黑" w:hint="eastAsia"/>
          <w:color w:val="000000"/>
          <w:kern w:val="0"/>
          <w:sz w:val="14"/>
          <w:szCs w:val="14"/>
          <w:shd w:val="clear" w:color="auto" w:fill="FFFFFF"/>
          <w:lang w:bidi="ar"/>
        </w:rPr>
        <w:t>图2.被苯环“扣住”的新颖环肽结构</w:t>
      </w:r>
    </w:p>
    <w:p w:rsidR="003351DF" w:rsidRDefault="003351DF" w:rsidP="003351DF">
      <w:pPr>
        <w:jc w:val="center"/>
        <w:rPr>
          <w:rFonts w:ascii="微软雅黑" w:eastAsia="微软雅黑" w:hAnsi="微软雅黑" w:cs="微软雅黑"/>
          <w:color w:val="000000"/>
          <w:kern w:val="0"/>
          <w:sz w:val="14"/>
          <w:szCs w:val="14"/>
          <w:shd w:val="clear" w:color="auto" w:fill="FFFFFF"/>
          <w:lang w:bidi="ar"/>
        </w:rPr>
      </w:pPr>
    </w:p>
    <w:p w:rsidR="003351DF" w:rsidRPr="003351DF" w:rsidRDefault="003351DF" w:rsidP="003351DF"/>
    <w:p w:rsidR="003351DF" w:rsidRDefault="003351DF" w:rsidP="003351DF"/>
    <w:p w:rsidR="008C2DB8" w:rsidRDefault="008C2DB8" w:rsidP="00DA5C43">
      <w:pPr>
        <w:ind w:firstLineChars="200" w:firstLine="420"/>
      </w:pPr>
    </w:p>
    <w:sectPr w:rsidR="008C2D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C88" w:rsidRDefault="00AC1C88" w:rsidP="00DA5C43">
      <w:r>
        <w:separator/>
      </w:r>
    </w:p>
  </w:endnote>
  <w:endnote w:type="continuationSeparator" w:id="0">
    <w:p w:rsidR="00AC1C88" w:rsidRDefault="00AC1C88" w:rsidP="00DA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C88" w:rsidRDefault="00AC1C88" w:rsidP="00DA5C43">
      <w:r>
        <w:separator/>
      </w:r>
    </w:p>
  </w:footnote>
  <w:footnote w:type="continuationSeparator" w:id="0">
    <w:p w:rsidR="00AC1C88" w:rsidRDefault="00AC1C88" w:rsidP="00DA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5"/>
    <w:rsid w:val="000614B1"/>
    <w:rsid w:val="000B45FD"/>
    <w:rsid w:val="00155CEC"/>
    <w:rsid w:val="003351DF"/>
    <w:rsid w:val="003B7569"/>
    <w:rsid w:val="003C0585"/>
    <w:rsid w:val="004F64BE"/>
    <w:rsid w:val="007A2031"/>
    <w:rsid w:val="008643F8"/>
    <w:rsid w:val="008C2DB8"/>
    <w:rsid w:val="00956393"/>
    <w:rsid w:val="00A35DD7"/>
    <w:rsid w:val="00AC1C88"/>
    <w:rsid w:val="00BA6EC7"/>
    <w:rsid w:val="00DA5C43"/>
    <w:rsid w:val="00DE4D03"/>
    <w:rsid w:val="00F77775"/>
    <w:rsid w:val="00F84125"/>
    <w:rsid w:val="00FD794C"/>
    <w:rsid w:val="00FF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7F619-E254-4D3E-A66B-EBB00FB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5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5C43"/>
    <w:rPr>
      <w:sz w:val="18"/>
      <w:szCs w:val="18"/>
    </w:rPr>
  </w:style>
  <w:style w:type="paragraph" w:styleId="a4">
    <w:name w:val="footer"/>
    <w:basedOn w:val="a"/>
    <w:link w:val="Char0"/>
    <w:uiPriority w:val="99"/>
    <w:unhideWhenUsed/>
    <w:rsid w:val="00DA5C43"/>
    <w:pPr>
      <w:tabs>
        <w:tab w:val="center" w:pos="4153"/>
        <w:tab w:val="right" w:pos="8306"/>
      </w:tabs>
      <w:snapToGrid w:val="0"/>
      <w:jc w:val="left"/>
    </w:pPr>
    <w:rPr>
      <w:sz w:val="18"/>
      <w:szCs w:val="18"/>
    </w:rPr>
  </w:style>
  <w:style w:type="character" w:customStyle="1" w:styleId="Char0">
    <w:name w:val="页脚 Char"/>
    <w:basedOn w:val="a0"/>
    <w:link w:val="a4"/>
    <w:uiPriority w:val="99"/>
    <w:rsid w:val="00DA5C43"/>
    <w:rPr>
      <w:sz w:val="18"/>
      <w:szCs w:val="18"/>
    </w:rPr>
  </w:style>
  <w:style w:type="paragraph" w:styleId="a5">
    <w:name w:val="Date"/>
    <w:basedOn w:val="a"/>
    <w:next w:val="a"/>
    <w:link w:val="Char1"/>
    <w:uiPriority w:val="99"/>
    <w:semiHidden/>
    <w:unhideWhenUsed/>
    <w:rsid w:val="003351DF"/>
    <w:pPr>
      <w:ind w:leftChars="2500" w:left="100"/>
    </w:pPr>
  </w:style>
  <w:style w:type="character" w:customStyle="1" w:styleId="Char1">
    <w:name w:val="日期 Char"/>
    <w:basedOn w:val="a0"/>
    <w:link w:val="a5"/>
    <w:uiPriority w:val="99"/>
    <w:semiHidden/>
    <w:rsid w:val="003351DF"/>
  </w:style>
  <w:style w:type="paragraph" w:styleId="a6">
    <w:name w:val="Normal (Web)"/>
    <w:basedOn w:val="a"/>
    <w:uiPriority w:val="99"/>
    <w:unhideWhenUsed/>
    <w:qFormat/>
    <w:rsid w:val="003351DF"/>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3351DF"/>
    <w:rPr>
      <w:b/>
      <w:bCs/>
    </w:rPr>
  </w:style>
  <w:style w:type="character" w:styleId="a8">
    <w:name w:val="Hyperlink"/>
    <w:uiPriority w:val="99"/>
    <w:unhideWhenUsed/>
    <w:qFormat/>
    <w:rsid w:val="003351DF"/>
    <w:rPr>
      <w:color w:val="0563C1"/>
      <w:u w:val="single"/>
    </w:rPr>
  </w:style>
  <w:style w:type="character" w:styleId="a9">
    <w:name w:val="Emphasis"/>
    <w:uiPriority w:val="20"/>
    <w:qFormat/>
    <w:rsid w:val="003351DF"/>
    <w:rPr>
      <w:i/>
      <w:iCs/>
    </w:rPr>
  </w:style>
  <w:style w:type="character" w:customStyle="1" w:styleId="apple-converted-space">
    <w:name w:val="apple-converted-space"/>
    <w:rsid w:val="0033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nph.onlinelibrary.wiley.com/doi/full/10.1111/nph.1514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15</cp:revision>
  <dcterms:created xsi:type="dcterms:W3CDTF">2018-04-23T01:09:00Z</dcterms:created>
  <dcterms:modified xsi:type="dcterms:W3CDTF">2018-04-23T01:38:00Z</dcterms:modified>
</cp:coreProperties>
</file>