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09" w:rsidRDefault="006A7A26">
      <w:pPr>
        <w:widowControl/>
        <w:snapToGrid w:val="0"/>
        <w:spacing w:line="480" w:lineRule="exact"/>
        <w:jc w:val="left"/>
        <w:outlineLvl w:val="0"/>
        <w:rPr>
          <w:rFonts w:asciiTheme="minorEastAsia" w:eastAsiaTheme="minorEastAsia" w:hAnsiTheme="minorEastAsia" w:cstheme="minorEastAsia"/>
          <w:bCs/>
          <w:iCs/>
          <w:kern w:val="0"/>
          <w:sz w:val="24"/>
          <w:szCs w:val="24"/>
        </w:rPr>
      </w:pPr>
      <w:r>
        <w:rPr>
          <w:rFonts w:asciiTheme="minorEastAsia" w:eastAsiaTheme="minorEastAsia" w:hAnsiTheme="minorEastAsia" w:cstheme="minorEastAsia" w:hint="eastAsia"/>
          <w:bCs/>
          <w:iCs/>
          <w:kern w:val="0"/>
          <w:sz w:val="24"/>
          <w:szCs w:val="24"/>
        </w:rPr>
        <w:t>附件1</w:t>
      </w:r>
    </w:p>
    <w:p w:rsidR="003C0809" w:rsidRDefault="006A7A26">
      <w:pPr>
        <w:widowControl/>
        <w:snapToGrid w:val="0"/>
        <w:spacing w:line="480" w:lineRule="exact"/>
        <w:jc w:val="center"/>
        <w:outlineLvl w:val="0"/>
        <w:rPr>
          <w:rFonts w:asciiTheme="minorEastAsia" w:eastAsiaTheme="minorEastAsia" w:hAnsiTheme="minorEastAsia" w:cstheme="minorEastAsia"/>
          <w:b/>
          <w:bCs/>
          <w:iCs/>
          <w:kern w:val="0"/>
          <w:sz w:val="32"/>
          <w:szCs w:val="32"/>
        </w:rPr>
      </w:pPr>
      <w:bookmarkStart w:id="0" w:name="OLE_LINK1"/>
      <w:r>
        <w:rPr>
          <w:rFonts w:asciiTheme="minorEastAsia" w:eastAsiaTheme="minorEastAsia" w:hAnsiTheme="minorEastAsia" w:cstheme="minorEastAsia" w:hint="eastAsia"/>
          <w:b/>
          <w:bCs/>
          <w:iCs/>
          <w:kern w:val="0"/>
          <w:sz w:val="32"/>
          <w:szCs w:val="32"/>
        </w:rPr>
        <w:t>中国高校产学研创新基金</w:t>
      </w:r>
      <w:bookmarkEnd w:id="0"/>
      <w:r>
        <w:rPr>
          <w:rFonts w:asciiTheme="minorEastAsia" w:eastAsiaTheme="minorEastAsia" w:hAnsiTheme="minorEastAsia" w:cstheme="minorEastAsia" w:hint="eastAsia"/>
          <w:b/>
          <w:bCs/>
          <w:iCs/>
          <w:kern w:val="0"/>
          <w:sz w:val="32"/>
          <w:szCs w:val="32"/>
        </w:rPr>
        <w:t>-数智创新与数字健康专项</w:t>
      </w:r>
    </w:p>
    <w:p w:rsidR="003C0809" w:rsidRDefault="006A7A26">
      <w:pPr>
        <w:widowControl/>
        <w:snapToGrid w:val="0"/>
        <w:spacing w:afterLines="100" w:after="312" w:line="480" w:lineRule="exact"/>
        <w:jc w:val="center"/>
        <w:outlineLvl w:val="0"/>
        <w:rPr>
          <w:rFonts w:asciiTheme="minorEastAsia" w:eastAsiaTheme="minorEastAsia" w:hAnsiTheme="minorEastAsia" w:cstheme="minorEastAsia"/>
          <w:b/>
          <w:bCs/>
          <w:iCs/>
          <w:kern w:val="0"/>
          <w:sz w:val="32"/>
          <w:szCs w:val="32"/>
        </w:rPr>
      </w:pPr>
      <w:r>
        <w:rPr>
          <w:rFonts w:asciiTheme="minorEastAsia" w:eastAsiaTheme="minorEastAsia" w:hAnsiTheme="minorEastAsia" w:cstheme="minorEastAsia" w:hint="eastAsia"/>
          <w:b/>
          <w:bCs/>
          <w:iCs/>
          <w:kern w:val="0"/>
          <w:sz w:val="32"/>
          <w:szCs w:val="32"/>
        </w:rPr>
        <w:t>申请指南说明</w:t>
      </w:r>
    </w:p>
    <w:p w:rsidR="003C0809" w:rsidRDefault="006A7A2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 《关于申报2026年中国高校产学研创新基金的通知》（教科发中心函</w:t>
      </w:r>
      <w:r>
        <w:rPr>
          <w:rFonts w:asciiTheme="minorEastAsia" w:eastAsiaTheme="minorEastAsia" w:hAnsiTheme="minorEastAsia" w:cstheme="minorEastAsia" w:hint="eastAsia"/>
          <w:color w:val="000000" w:themeColor="text1"/>
          <w:sz w:val="24"/>
          <w:szCs w:val="24"/>
        </w:rPr>
        <w:t>（202</w:t>
      </w:r>
      <w:r>
        <w:rPr>
          <w:rFonts w:asciiTheme="minorEastAsia" w:eastAsiaTheme="minorEastAsia" w:hAnsiTheme="minorEastAsia" w:cstheme="minorEastAsia"/>
          <w:color w:val="000000" w:themeColor="text1"/>
          <w:sz w:val="24"/>
          <w:szCs w:val="24"/>
        </w:rPr>
        <w:t>6</w:t>
      </w:r>
      <w:r>
        <w:rPr>
          <w:rFonts w:asciiTheme="minorEastAsia" w:eastAsiaTheme="minorEastAsia" w:hAnsiTheme="minorEastAsia" w:cstheme="minorEastAsia" w:hint="eastAsia"/>
          <w:color w:val="000000" w:themeColor="text1"/>
          <w:sz w:val="24"/>
          <w:szCs w:val="24"/>
        </w:rPr>
        <w:t>）</w:t>
      </w:r>
      <w:r>
        <w:rPr>
          <w:rFonts w:asciiTheme="minorEastAsia" w:eastAsiaTheme="minorEastAsia" w:hAnsiTheme="minorEastAsia" w:cstheme="minorEastAsia"/>
          <w:color w:val="000000" w:themeColor="text1"/>
          <w:sz w:val="24"/>
          <w:szCs w:val="24"/>
        </w:rPr>
        <w:t>5</w:t>
      </w:r>
      <w:r>
        <w:rPr>
          <w:rFonts w:asciiTheme="minorEastAsia" w:eastAsiaTheme="minorEastAsia" w:hAnsiTheme="minorEastAsia" w:cstheme="minorEastAsia" w:hint="eastAsia"/>
          <w:color w:val="000000" w:themeColor="text1"/>
          <w:sz w:val="24"/>
          <w:szCs w:val="24"/>
        </w:rPr>
        <w:t>号)的相关要求，教育部高等学校科学研究发展中心与河北国云数据科技有限公司</w:t>
      </w:r>
      <w:r>
        <w:rPr>
          <w:rFonts w:asciiTheme="minorEastAsia" w:eastAsiaTheme="minorEastAsia" w:hAnsiTheme="minorEastAsia" w:cstheme="minorEastAsia" w:hint="eastAsia"/>
          <w:sz w:val="24"/>
          <w:szCs w:val="24"/>
        </w:rPr>
        <w:t>联合设立“2</w:t>
      </w:r>
      <w:r>
        <w:rPr>
          <w:rFonts w:asciiTheme="minorEastAsia" w:eastAsiaTheme="minorEastAsia" w:hAnsiTheme="minorEastAsia" w:cstheme="minorEastAsia"/>
          <w:sz w:val="24"/>
          <w:szCs w:val="24"/>
        </w:rPr>
        <w:t>026</w:t>
      </w:r>
      <w:r>
        <w:rPr>
          <w:rFonts w:asciiTheme="minorEastAsia" w:eastAsiaTheme="minorEastAsia" w:hAnsiTheme="minorEastAsia" w:cstheme="minorEastAsia" w:hint="eastAsia"/>
          <w:sz w:val="24"/>
          <w:szCs w:val="24"/>
        </w:rPr>
        <w:t>年中国高校产学研创新基金-数智创新与数</w:t>
      </w:r>
      <w:r w:rsidRPr="00E31DC0">
        <w:rPr>
          <w:rFonts w:asciiTheme="minorEastAsia" w:eastAsiaTheme="minorEastAsia" w:hAnsiTheme="minorEastAsia" w:cstheme="minorEastAsia" w:hint="eastAsia"/>
          <w:color w:val="000000" w:themeColor="text1"/>
          <w:sz w:val="24"/>
          <w:szCs w:val="24"/>
        </w:rPr>
        <w:t>字健康专项”，</w:t>
      </w:r>
      <w:r w:rsidR="00FE01EE" w:rsidRPr="00E31DC0">
        <w:rPr>
          <w:rFonts w:asciiTheme="minorEastAsia" w:eastAsiaTheme="minorEastAsia" w:hAnsiTheme="minorEastAsia" w:hint="eastAsia"/>
          <w:color w:val="000000" w:themeColor="text1"/>
          <w:sz w:val="24"/>
          <w:szCs w:val="24"/>
        </w:rPr>
        <w:t>支持高校及其附属单位开展大数据、人工智能、云计算、物联网、可视化技术融合等新一代信息技术在体育、心理、养老、医学、资产数字化等相关专业领域的应用基础研究和应用研究，推动高校相关专业在科研、教学、管理和服务改革方面的创新，积极响应</w:t>
      </w:r>
      <w:r w:rsidR="00FE01EE" w:rsidRPr="00FE01EE">
        <w:rPr>
          <w:rFonts w:asciiTheme="minorEastAsia" w:eastAsiaTheme="minorEastAsia" w:hAnsiTheme="minorEastAsia" w:hint="eastAsia"/>
          <w:color w:val="000000" w:themeColor="text1"/>
          <w:sz w:val="24"/>
          <w:szCs w:val="24"/>
        </w:rPr>
        <w:t>教育数字化战略行动，推动实现数字化转型。</w:t>
      </w:r>
    </w:p>
    <w:p w:rsidR="003C0809" w:rsidRDefault="006A7A26">
      <w:pPr>
        <w:widowControl/>
        <w:snapToGrid w:val="0"/>
        <w:spacing w:beforeLines="100" w:before="312" w:line="480" w:lineRule="exact"/>
        <w:ind w:firstLineChars="200" w:firstLine="560"/>
        <w:outlineLvl w:val="1"/>
        <w:rPr>
          <w:rFonts w:ascii="微软雅黑" w:eastAsia="微软雅黑" w:hAnsi="微软雅黑" w:cstheme="minorEastAsia"/>
          <w:b/>
          <w:bCs/>
          <w:iCs/>
          <w:kern w:val="0"/>
          <w:sz w:val="28"/>
          <w:szCs w:val="28"/>
        </w:rPr>
      </w:pPr>
      <w:r>
        <w:rPr>
          <w:rFonts w:ascii="微软雅黑" w:eastAsia="微软雅黑" w:hAnsi="微软雅黑" w:cstheme="minorEastAsia" w:hint="eastAsia"/>
          <w:b/>
          <w:bCs/>
          <w:iCs/>
          <w:kern w:val="0"/>
          <w:sz w:val="28"/>
          <w:szCs w:val="28"/>
        </w:rPr>
        <w:t>一、课题说明</w:t>
      </w:r>
    </w:p>
    <w:p w:rsidR="003C0809" w:rsidRDefault="006A7A2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数智创新与数字健康专项”面向全国遴选合作高校及高校附属单位，围绕新一代信息技术在科研、教学、管理、临床方面的进一步创新应用和教学实践开展研究，以科技变革促进应用。申请人应充分把握相关领域的研究方向，围绕行业中重大需求或科学前沿，结合领域发展趋势与团队研究基础，面向实际应用对象或应用过程，聚焦其中的关键科学问题开展系统深入的理论创新与实验(或应用)验证研究。</w:t>
      </w:r>
    </w:p>
    <w:p w:rsidR="003C0809" w:rsidRDefault="006A7A2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2.“数智创新与数字健康专项”的申请截止时间为2027年3月5日。计划执行时间为2027年9月</w:t>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t>日～2028年12月</w:t>
      </w:r>
      <w:r>
        <w:rPr>
          <w:rFonts w:asciiTheme="minorEastAsia" w:eastAsiaTheme="minorEastAsia" w:hAnsiTheme="minorEastAsia" w:cstheme="minorEastAsia"/>
          <w:sz w:val="24"/>
          <w:szCs w:val="24"/>
        </w:rPr>
        <w:t>3</w:t>
      </w:r>
      <w:r>
        <w:rPr>
          <w:rFonts w:asciiTheme="minorEastAsia" w:eastAsiaTheme="minorEastAsia" w:hAnsiTheme="minorEastAsia" w:cstheme="minorEastAsia" w:hint="eastAsia"/>
          <w:sz w:val="24"/>
          <w:szCs w:val="24"/>
        </w:rPr>
        <w:t>1日，可根据课题复杂程度适度延长执行周期，最长不超过三年。</w:t>
      </w:r>
      <w:bookmarkStart w:id="1" w:name="_GoBack"/>
      <w:bookmarkEnd w:id="1"/>
    </w:p>
    <w:p w:rsidR="003C0809" w:rsidRPr="003D645B" w:rsidRDefault="006A7A26">
      <w:pPr>
        <w:spacing w:line="480" w:lineRule="exact"/>
        <w:ind w:firstLine="480"/>
        <w:rPr>
          <w:rFonts w:asciiTheme="minorEastAsia" w:eastAsiaTheme="minorEastAsia" w:hAnsiTheme="minorEastAsia" w:cstheme="minorEastAsia"/>
          <w:color w:val="000000" w:themeColor="text1"/>
          <w:sz w:val="24"/>
          <w:szCs w:val="24"/>
        </w:rPr>
      </w:pPr>
      <w:r w:rsidRPr="003D645B">
        <w:rPr>
          <w:rFonts w:asciiTheme="minorEastAsia" w:eastAsiaTheme="minorEastAsia" w:hAnsiTheme="minorEastAsia" w:cstheme="minorEastAsia" w:hint="eastAsia"/>
          <w:color w:val="000000" w:themeColor="text1"/>
          <w:sz w:val="24"/>
          <w:szCs w:val="24"/>
        </w:rPr>
        <w:t>3.“数智创新与数字健康专项”分为</w:t>
      </w:r>
      <w:r w:rsidR="00B737ED" w:rsidRPr="003D645B">
        <w:rPr>
          <w:rFonts w:asciiTheme="minorEastAsia" w:eastAsiaTheme="minorEastAsia" w:hAnsiTheme="minorEastAsia" w:cstheme="minorEastAsia"/>
          <w:color w:val="000000" w:themeColor="text1"/>
          <w:sz w:val="24"/>
          <w:szCs w:val="24"/>
        </w:rPr>
        <w:t>一般课题</w:t>
      </w:r>
      <w:r w:rsidR="00B737ED" w:rsidRPr="003D645B">
        <w:rPr>
          <w:rFonts w:asciiTheme="minorEastAsia" w:eastAsiaTheme="minorEastAsia" w:hAnsiTheme="minorEastAsia" w:cstheme="minorEastAsia" w:hint="eastAsia"/>
          <w:color w:val="000000" w:themeColor="text1"/>
          <w:sz w:val="24"/>
          <w:szCs w:val="24"/>
        </w:rPr>
        <w:t>、</w:t>
      </w:r>
      <w:r w:rsidR="00B737ED" w:rsidRPr="003D645B">
        <w:rPr>
          <w:rFonts w:asciiTheme="minorEastAsia" w:eastAsiaTheme="minorEastAsia" w:hAnsiTheme="minorEastAsia" w:cstheme="minorEastAsia"/>
          <w:color w:val="000000" w:themeColor="text1"/>
          <w:sz w:val="24"/>
          <w:szCs w:val="24"/>
        </w:rPr>
        <w:t>重点课题</w:t>
      </w:r>
      <w:r w:rsidR="00B737ED" w:rsidRPr="003D645B">
        <w:rPr>
          <w:rFonts w:asciiTheme="minorEastAsia" w:eastAsiaTheme="minorEastAsia" w:hAnsiTheme="minorEastAsia" w:cstheme="minorEastAsia" w:hint="eastAsia"/>
          <w:color w:val="000000" w:themeColor="text1"/>
          <w:sz w:val="24"/>
          <w:szCs w:val="24"/>
        </w:rPr>
        <w:t>和有组织</w:t>
      </w:r>
      <w:r w:rsidR="00B737ED" w:rsidRPr="003D645B">
        <w:rPr>
          <w:rFonts w:asciiTheme="minorEastAsia" w:eastAsiaTheme="minorEastAsia" w:hAnsiTheme="minorEastAsia" w:cstheme="minorEastAsia" w:hint="eastAsia"/>
          <w:color w:val="000000" w:themeColor="text1"/>
          <w:sz w:val="24"/>
          <w:szCs w:val="24"/>
        </w:rPr>
        <w:t>科研重点课题</w:t>
      </w:r>
      <w:r w:rsidRPr="003D645B">
        <w:rPr>
          <w:rFonts w:asciiTheme="minorEastAsia" w:eastAsiaTheme="minorEastAsia" w:hAnsiTheme="minorEastAsia" w:cstheme="minorEastAsia" w:hint="eastAsia"/>
          <w:color w:val="000000" w:themeColor="text1"/>
          <w:sz w:val="24"/>
          <w:szCs w:val="24"/>
        </w:rPr>
        <w:t>：</w:t>
      </w:r>
    </w:p>
    <w:p w:rsidR="003C0809" w:rsidRPr="003D645B" w:rsidRDefault="00A62F50">
      <w:pPr>
        <w:spacing w:line="480" w:lineRule="exact"/>
        <w:ind w:firstLine="480"/>
        <w:rPr>
          <w:rFonts w:asciiTheme="minorEastAsia" w:eastAsiaTheme="minorEastAsia" w:hAnsiTheme="minorEastAsia" w:cstheme="minorEastAsia"/>
          <w:color w:val="000000" w:themeColor="text1"/>
          <w:sz w:val="24"/>
          <w:szCs w:val="24"/>
        </w:rPr>
      </w:pPr>
      <w:r w:rsidRPr="003D645B">
        <w:rPr>
          <w:rFonts w:asciiTheme="minorEastAsia" w:eastAsiaTheme="minorEastAsia" w:hAnsiTheme="minorEastAsia" w:cstheme="minorEastAsia" w:hint="eastAsia"/>
          <w:color w:val="000000" w:themeColor="text1"/>
          <w:sz w:val="24"/>
          <w:szCs w:val="24"/>
        </w:rPr>
        <w:t xml:space="preserve">⑴ </w:t>
      </w:r>
      <w:r w:rsidR="006A7A26" w:rsidRPr="003D645B">
        <w:rPr>
          <w:rFonts w:asciiTheme="minorEastAsia" w:eastAsiaTheme="minorEastAsia" w:hAnsiTheme="minorEastAsia" w:cstheme="minorEastAsia" w:hint="eastAsia"/>
          <w:color w:val="000000" w:themeColor="text1"/>
          <w:sz w:val="24"/>
          <w:szCs w:val="24"/>
        </w:rPr>
        <w:t>一般课题</w:t>
      </w:r>
      <w:r w:rsidR="00B737ED" w:rsidRPr="003D645B">
        <w:rPr>
          <w:rFonts w:asciiTheme="minorEastAsia" w:eastAsiaTheme="minorEastAsia" w:hAnsiTheme="minorEastAsia" w:cstheme="minorEastAsia" w:hint="eastAsia"/>
          <w:color w:val="000000" w:themeColor="text1"/>
          <w:sz w:val="24"/>
          <w:szCs w:val="24"/>
        </w:rPr>
        <w:t>：</w:t>
      </w:r>
      <w:r w:rsidR="006A7A26" w:rsidRPr="003D645B">
        <w:rPr>
          <w:rFonts w:asciiTheme="minorEastAsia" w:eastAsiaTheme="minorEastAsia" w:hAnsiTheme="minorEastAsia" w:cstheme="minorEastAsia" w:hint="eastAsia"/>
          <w:color w:val="000000" w:themeColor="text1"/>
          <w:sz w:val="24"/>
          <w:szCs w:val="24"/>
        </w:rPr>
        <w:t>面向单一研究方向，鼓励学科交叉，为每个立项课题提供总经费</w:t>
      </w:r>
      <w:r w:rsidR="006A7A26" w:rsidRPr="003D645B">
        <w:rPr>
          <w:rFonts w:asciiTheme="minorEastAsia" w:eastAsiaTheme="minorEastAsia" w:hAnsiTheme="minorEastAsia" w:cstheme="minorEastAsia"/>
          <w:color w:val="000000" w:themeColor="text1"/>
          <w:sz w:val="24"/>
          <w:szCs w:val="24"/>
        </w:rPr>
        <w:t>10</w:t>
      </w:r>
      <w:r w:rsidR="006A7A26" w:rsidRPr="003D645B">
        <w:rPr>
          <w:rFonts w:asciiTheme="minorEastAsia" w:eastAsiaTheme="minorEastAsia" w:hAnsiTheme="minorEastAsia" w:cstheme="minorEastAsia" w:hint="eastAsia"/>
          <w:color w:val="000000" w:themeColor="text1"/>
          <w:sz w:val="24"/>
          <w:szCs w:val="24"/>
        </w:rPr>
        <w:t>万元至</w:t>
      </w:r>
      <w:r w:rsidR="006A7A26" w:rsidRPr="003D645B">
        <w:rPr>
          <w:rFonts w:asciiTheme="minorEastAsia" w:eastAsiaTheme="minorEastAsia" w:hAnsiTheme="minorEastAsia" w:cstheme="minorEastAsia"/>
          <w:color w:val="000000" w:themeColor="text1"/>
          <w:sz w:val="24"/>
          <w:szCs w:val="24"/>
        </w:rPr>
        <w:t>40</w:t>
      </w:r>
      <w:r w:rsidR="006A7A26" w:rsidRPr="003D645B">
        <w:rPr>
          <w:rFonts w:asciiTheme="minorEastAsia" w:eastAsiaTheme="minorEastAsia" w:hAnsiTheme="minorEastAsia" w:cstheme="minorEastAsia" w:hint="eastAsia"/>
          <w:color w:val="000000" w:themeColor="text1"/>
          <w:sz w:val="24"/>
          <w:szCs w:val="24"/>
        </w:rPr>
        <w:t>万元的课题研究经费及科研软硬件平台支持，其中课题研究经费</w:t>
      </w:r>
      <w:r w:rsidR="006A7A26" w:rsidRPr="003D645B">
        <w:rPr>
          <w:rFonts w:asciiTheme="minorEastAsia" w:eastAsiaTheme="minorEastAsia" w:hAnsiTheme="minorEastAsia" w:cstheme="minorEastAsia"/>
          <w:color w:val="000000" w:themeColor="text1"/>
          <w:sz w:val="24"/>
          <w:szCs w:val="24"/>
        </w:rPr>
        <w:t>5</w:t>
      </w:r>
      <w:r w:rsidR="006A7A26" w:rsidRPr="003D645B">
        <w:rPr>
          <w:rFonts w:asciiTheme="minorEastAsia" w:eastAsiaTheme="minorEastAsia" w:hAnsiTheme="minorEastAsia" w:cstheme="minorEastAsia" w:hint="eastAsia"/>
          <w:color w:val="000000" w:themeColor="text1"/>
          <w:sz w:val="24"/>
          <w:szCs w:val="24"/>
        </w:rPr>
        <w:t>万元至</w:t>
      </w:r>
      <w:r w:rsidR="006A7A26" w:rsidRPr="003D645B">
        <w:rPr>
          <w:rFonts w:asciiTheme="minorEastAsia" w:eastAsiaTheme="minorEastAsia" w:hAnsiTheme="minorEastAsia" w:cstheme="minorEastAsia"/>
          <w:color w:val="000000" w:themeColor="text1"/>
          <w:sz w:val="24"/>
          <w:szCs w:val="24"/>
        </w:rPr>
        <w:t>20</w:t>
      </w:r>
      <w:r w:rsidR="006A7A26" w:rsidRPr="003D645B">
        <w:rPr>
          <w:rFonts w:asciiTheme="minorEastAsia" w:eastAsiaTheme="minorEastAsia" w:hAnsiTheme="minorEastAsia" w:cstheme="minorEastAsia" w:hint="eastAsia"/>
          <w:color w:val="000000" w:themeColor="text1"/>
          <w:sz w:val="24"/>
          <w:szCs w:val="24"/>
        </w:rPr>
        <w:t>万元。</w:t>
      </w:r>
    </w:p>
    <w:p w:rsidR="00B737ED" w:rsidRPr="003D645B" w:rsidRDefault="00A62F50">
      <w:pPr>
        <w:spacing w:line="480" w:lineRule="exact"/>
        <w:ind w:firstLineChars="200" w:firstLine="480"/>
        <w:rPr>
          <w:rFonts w:asciiTheme="minorEastAsia" w:eastAsiaTheme="minorEastAsia" w:hAnsiTheme="minorEastAsia" w:cstheme="minorEastAsia"/>
          <w:color w:val="000000" w:themeColor="text1"/>
          <w:sz w:val="24"/>
          <w:szCs w:val="24"/>
        </w:rPr>
      </w:pPr>
      <w:r w:rsidRPr="003D645B">
        <w:rPr>
          <w:rFonts w:asciiTheme="minorEastAsia" w:eastAsiaTheme="minorEastAsia" w:hAnsiTheme="minorEastAsia" w:cstheme="minorEastAsia" w:hint="eastAsia"/>
          <w:color w:val="000000" w:themeColor="text1"/>
          <w:sz w:val="24"/>
          <w:szCs w:val="24"/>
        </w:rPr>
        <w:t xml:space="preserve">⑵ </w:t>
      </w:r>
      <w:r w:rsidR="006A7A26" w:rsidRPr="003D645B">
        <w:rPr>
          <w:rFonts w:asciiTheme="minorEastAsia" w:eastAsiaTheme="minorEastAsia" w:hAnsiTheme="minorEastAsia" w:cstheme="minorEastAsia" w:hint="eastAsia"/>
          <w:color w:val="000000" w:themeColor="text1"/>
          <w:sz w:val="24"/>
          <w:szCs w:val="24"/>
        </w:rPr>
        <w:t>重点课题</w:t>
      </w:r>
      <w:r w:rsidR="00B737ED" w:rsidRPr="003D645B">
        <w:rPr>
          <w:rFonts w:asciiTheme="minorEastAsia" w:eastAsiaTheme="minorEastAsia" w:hAnsiTheme="minorEastAsia" w:cstheme="minorEastAsia" w:hint="eastAsia"/>
          <w:color w:val="000000" w:themeColor="text1"/>
          <w:sz w:val="24"/>
          <w:szCs w:val="24"/>
        </w:rPr>
        <w:t>：</w:t>
      </w:r>
      <w:r w:rsidR="00FE01EE" w:rsidRPr="003D645B">
        <w:rPr>
          <w:rFonts w:asciiTheme="minorEastAsia" w:eastAsiaTheme="minorEastAsia" w:hAnsiTheme="minorEastAsia" w:cstheme="minorEastAsia" w:hint="eastAsia"/>
          <w:color w:val="000000" w:themeColor="text1"/>
          <w:sz w:val="24"/>
          <w:szCs w:val="24"/>
        </w:rPr>
        <w:t>不超过1</w:t>
      </w:r>
      <w:r w:rsidR="00FE01EE" w:rsidRPr="003D645B">
        <w:rPr>
          <w:rFonts w:asciiTheme="minorEastAsia" w:eastAsiaTheme="minorEastAsia" w:hAnsiTheme="minorEastAsia" w:cstheme="minorEastAsia"/>
          <w:color w:val="000000" w:themeColor="text1"/>
          <w:sz w:val="24"/>
          <w:szCs w:val="24"/>
        </w:rPr>
        <w:t>0</w:t>
      </w:r>
      <w:r w:rsidR="00FE01EE" w:rsidRPr="003D645B">
        <w:rPr>
          <w:rFonts w:asciiTheme="minorEastAsia" w:eastAsiaTheme="minorEastAsia" w:hAnsiTheme="minorEastAsia" w:cstheme="minorEastAsia" w:hint="eastAsia"/>
          <w:color w:val="000000" w:themeColor="text1"/>
          <w:sz w:val="24"/>
          <w:szCs w:val="24"/>
        </w:rPr>
        <w:t>个，</w:t>
      </w:r>
      <w:r w:rsidR="006A7A26" w:rsidRPr="003D645B">
        <w:rPr>
          <w:rFonts w:asciiTheme="minorEastAsia" w:eastAsiaTheme="minorEastAsia" w:hAnsiTheme="minorEastAsia" w:cstheme="minorEastAsia" w:hint="eastAsia"/>
          <w:color w:val="000000" w:themeColor="text1"/>
          <w:sz w:val="24"/>
          <w:szCs w:val="24"/>
        </w:rPr>
        <w:t>面向系统性的创新需求，鼓励学科交叉，为每个立项课题提供总经费</w:t>
      </w:r>
      <w:r w:rsidR="006A7A26" w:rsidRPr="003D645B">
        <w:rPr>
          <w:rFonts w:asciiTheme="minorEastAsia" w:eastAsiaTheme="minorEastAsia" w:hAnsiTheme="minorEastAsia" w:cstheme="minorEastAsia"/>
          <w:color w:val="000000" w:themeColor="text1"/>
          <w:sz w:val="24"/>
          <w:szCs w:val="24"/>
        </w:rPr>
        <w:t>40</w:t>
      </w:r>
      <w:r w:rsidR="006A7A26" w:rsidRPr="003D645B">
        <w:rPr>
          <w:rFonts w:asciiTheme="minorEastAsia" w:eastAsiaTheme="minorEastAsia" w:hAnsiTheme="minorEastAsia" w:cstheme="minorEastAsia" w:hint="eastAsia"/>
          <w:color w:val="000000" w:themeColor="text1"/>
          <w:sz w:val="24"/>
          <w:szCs w:val="24"/>
        </w:rPr>
        <w:t>万元至</w:t>
      </w:r>
      <w:r w:rsidR="00FE01EE" w:rsidRPr="003D645B">
        <w:rPr>
          <w:rFonts w:asciiTheme="minorEastAsia" w:eastAsiaTheme="minorEastAsia" w:hAnsiTheme="minorEastAsia" w:cstheme="minorEastAsia"/>
          <w:color w:val="000000" w:themeColor="text1"/>
          <w:sz w:val="24"/>
          <w:szCs w:val="24"/>
        </w:rPr>
        <w:t>1</w:t>
      </w:r>
      <w:r w:rsidR="006A7A26" w:rsidRPr="003D645B">
        <w:rPr>
          <w:rFonts w:asciiTheme="minorEastAsia" w:eastAsiaTheme="minorEastAsia" w:hAnsiTheme="minorEastAsia" w:cstheme="minorEastAsia"/>
          <w:color w:val="000000" w:themeColor="text1"/>
          <w:sz w:val="24"/>
          <w:szCs w:val="24"/>
        </w:rPr>
        <w:t>00</w:t>
      </w:r>
      <w:r w:rsidR="006A7A26" w:rsidRPr="003D645B">
        <w:rPr>
          <w:rFonts w:asciiTheme="minorEastAsia" w:eastAsiaTheme="minorEastAsia" w:hAnsiTheme="minorEastAsia" w:cstheme="minorEastAsia" w:hint="eastAsia"/>
          <w:color w:val="000000" w:themeColor="text1"/>
          <w:sz w:val="24"/>
          <w:szCs w:val="24"/>
        </w:rPr>
        <w:t>万元的课题研究经费及科研软硬件平台支持，其中课题研究经费</w:t>
      </w:r>
      <w:r w:rsidR="006A7A26" w:rsidRPr="003D645B">
        <w:rPr>
          <w:rFonts w:asciiTheme="minorEastAsia" w:eastAsiaTheme="minorEastAsia" w:hAnsiTheme="minorEastAsia" w:cstheme="minorEastAsia"/>
          <w:color w:val="000000" w:themeColor="text1"/>
          <w:sz w:val="24"/>
          <w:szCs w:val="24"/>
        </w:rPr>
        <w:t>20</w:t>
      </w:r>
      <w:r w:rsidR="006A7A26" w:rsidRPr="003D645B">
        <w:rPr>
          <w:rFonts w:asciiTheme="minorEastAsia" w:eastAsiaTheme="minorEastAsia" w:hAnsiTheme="minorEastAsia" w:cstheme="minorEastAsia" w:hint="eastAsia"/>
          <w:color w:val="000000" w:themeColor="text1"/>
          <w:sz w:val="24"/>
          <w:szCs w:val="24"/>
        </w:rPr>
        <w:t>万元至5</w:t>
      </w:r>
      <w:r w:rsidR="006A7A26" w:rsidRPr="003D645B">
        <w:rPr>
          <w:rFonts w:asciiTheme="minorEastAsia" w:eastAsiaTheme="minorEastAsia" w:hAnsiTheme="minorEastAsia" w:cstheme="minorEastAsia"/>
          <w:color w:val="000000" w:themeColor="text1"/>
          <w:sz w:val="24"/>
          <w:szCs w:val="24"/>
        </w:rPr>
        <w:t>0</w:t>
      </w:r>
      <w:r w:rsidR="006A7A26" w:rsidRPr="003D645B">
        <w:rPr>
          <w:rFonts w:asciiTheme="minorEastAsia" w:eastAsiaTheme="minorEastAsia" w:hAnsiTheme="minorEastAsia" w:cstheme="minorEastAsia" w:hint="eastAsia"/>
          <w:color w:val="000000" w:themeColor="text1"/>
          <w:sz w:val="24"/>
          <w:szCs w:val="24"/>
        </w:rPr>
        <w:t>万元。</w:t>
      </w:r>
    </w:p>
    <w:p w:rsidR="003C0809" w:rsidRPr="003D645B" w:rsidRDefault="00B737ED">
      <w:pPr>
        <w:spacing w:line="480" w:lineRule="exact"/>
        <w:ind w:firstLineChars="200" w:firstLine="480"/>
        <w:rPr>
          <w:rFonts w:asciiTheme="minorEastAsia" w:eastAsiaTheme="minorEastAsia" w:hAnsiTheme="minorEastAsia" w:cstheme="minorEastAsia"/>
          <w:color w:val="000000" w:themeColor="text1"/>
          <w:sz w:val="24"/>
          <w:szCs w:val="24"/>
        </w:rPr>
      </w:pPr>
      <w:r w:rsidRPr="003D645B">
        <w:rPr>
          <w:rFonts w:asciiTheme="minorEastAsia" w:eastAsiaTheme="minorEastAsia" w:hAnsiTheme="minorEastAsia" w:cstheme="minorEastAsia" w:hint="eastAsia"/>
          <w:color w:val="000000" w:themeColor="text1"/>
          <w:sz w:val="24"/>
          <w:szCs w:val="24"/>
        </w:rPr>
        <w:t xml:space="preserve">⑶ </w:t>
      </w:r>
      <w:r w:rsidRPr="003D645B">
        <w:rPr>
          <w:rFonts w:asciiTheme="minorEastAsia" w:eastAsiaTheme="minorEastAsia" w:hAnsiTheme="minorEastAsia" w:cstheme="minorEastAsia" w:hint="eastAsia"/>
          <w:color w:val="000000" w:themeColor="text1"/>
          <w:sz w:val="24"/>
          <w:szCs w:val="24"/>
        </w:rPr>
        <w:t>有组织科研重点课题</w:t>
      </w:r>
      <w:r w:rsidRPr="003D645B">
        <w:rPr>
          <w:rFonts w:asciiTheme="minorEastAsia" w:eastAsiaTheme="minorEastAsia" w:hAnsiTheme="minorEastAsia" w:cstheme="minorEastAsia" w:hint="eastAsia"/>
          <w:color w:val="000000" w:themeColor="text1"/>
          <w:sz w:val="24"/>
          <w:szCs w:val="24"/>
        </w:rPr>
        <w:t>：在一般课题和重点课题</w:t>
      </w:r>
      <w:r w:rsidR="006A7A26" w:rsidRPr="003D645B">
        <w:rPr>
          <w:rFonts w:asciiTheme="minorEastAsia" w:eastAsiaTheme="minorEastAsia" w:hAnsiTheme="minorEastAsia" w:cstheme="minorEastAsia" w:hint="eastAsia"/>
          <w:color w:val="000000" w:themeColor="text1"/>
          <w:sz w:val="24"/>
          <w:szCs w:val="24"/>
        </w:rPr>
        <w:t>基础上，将从通过初审的课题</w:t>
      </w:r>
      <w:r w:rsidR="006A7A26" w:rsidRPr="003D645B">
        <w:rPr>
          <w:rFonts w:asciiTheme="minorEastAsia" w:eastAsiaTheme="minorEastAsia" w:hAnsiTheme="minorEastAsia" w:cstheme="minorEastAsia" w:hint="eastAsia"/>
          <w:color w:val="000000" w:themeColor="text1"/>
          <w:sz w:val="24"/>
          <w:szCs w:val="24"/>
        </w:rPr>
        <w:lastRenderedPageBreak/>
        <w:t>中，按科研相关性择优筛选5个左右独立课题组建有组织科研重点项目，通过跨高校、跨学科、跨地域的协同攻关来完成，项目设置总承担单位和项目</w:t>
      </w:r>
      <w:r w:rsidR="00467817" w:rsidRPr="003D645B">
        <w:rPr>
          <w:rFonts w:asciiTheme="minorEastAsia" w:eastAsiaTheme="minorEastAsia" w:hAnsiTheme="minorEastAsia" w:cstheme="minorEastAsia" w:hint="eastAsia"/>
          <w:color w:val="000000" w:themeColor="text1"/>
          <w:sz w:val="24"/>
          <w:szCs w:val="24"/>
        </w:rPr>
        <w:t>总</w:t>
      </w:r>
      <w:r w:rsidR="006A7A26" w:rsidRPr="003D645B">
        <w:rPr>
          <w:rFonts w:asciiTheme="minorEastAsia" w:eastAsiaTheme="minorEastAsia" w:hAnsiTheme="minorEastAsia" w:cstheme="minorEastAsia" w:hint="eastAsia"/>
          <w:color w:val="000000" w:themeColor="text1"/>
          <w:sz w:val="24"/>
          <w:szCs w:val="24"/>
        </w:rPr>
        <w:t>负责人，按照“分别立项、整体实施”的原则开展研究。</w:t>
      </w:r>
    </w:p>
    <w:p w:rsidR="003C0809" w:rsidRPr="00A62F50" w:rsidRDefault="006A7A2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w:t>
      </w:r>
      <w:r w:rsidR="00AF002C">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申请院校从（表一）中选择课题方向进行申报，既可以聚焦行业实际应用场景、立足产业发展痛点和教学实践难题，依托项目提供的软硬件平台开展应用研究，着力产出可落地、可推广、能赋能教学改革与行业发展的实践成果；也可以围绕学科核心理论、技术机理、体系构建等内容开展应用基础研究，为后续技术创新、实践应用提供理论支撑与技术依据。鼓励学科交叉，突破现有课题列表框架，自主提出具备新颖性、前瞻性、可行性的原创性全新课题。</w:t>
      </w:r>
    </w:p>
    <w:p w:rsidR="003C0809" w:rsidRPr="006A0003" w:rsidRDefault="006A7A26">
      <w:pPr>
        <w:spacing w:line="600" w:lineRule="exact"/>
        <w:jc w:val="center"/>
        <w:rPr>
          <w:rFonts w:ascii="宋体" w:eastAsia="宋体" w:hAnsi="宋体" w:cstheme="minorEastAsia"/>
          <w:sz w:val="24"/>
          <w:szCs w:val="24"/>
        </w:rPr>
      </w:pPr>
      <w:r w:rsidRPr="006A0003">
        <w:rPr>
          <w:rFonts w:ascii="宋体" w:eastAsia="宋体" w:hAnsi="宋体" w:hint="eastAsia"/>
          <w:b/>
          <w:sz w:val="24"/>
        </w:rPr>
        <w:t xml:space="preserve">表一  </w:t>
      </w:r>
      <w:r w:rsidR="00E31DC0">
        <w:rPr>
          <w:rFonts w:ascii="宋体" w:eastAsia="宋体" w:hAnsi="宋体" w:hint="eastAsia"/>
          <w:b/>
          <w:sz w:val="24"/>
        </w:rPr>
        <w:t>数智创新与数字健康专项</w:t>
      </w:r>
      <w:r w:rsidRPr="006A0003">
        <w:rPr>
          <w:rFonts w:ascii="宋体" w:eastAsia="宋体" w:hAnsi="宋体" w:hint="eastAsia"/>
          <w:b/>
          <w:sz w:val="24"/>
        </w:rPr>
        <w:t>选题列表</w:t>
      </w: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68"/>
        <w:gridCol w:w="5659"/>
      </w:tblGrid>
      <w:tr w:rsidR="00A62F50" w:rsidTr="006A0003">
        <w:trPr>
          <w:trHeight w:val="79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tcPr>
          <w:p w:rsidR="00A62F50" w:rsidRPr="00A62F50" w:rsidRDefault="00A62F50" w:rsidP="00A62F50">
            <w:pPr>
              <w:spacing w:line="320" w:lineRule="exact"/>
              <w:jc w:val="center"/>
              <w:rPr>
                <w:rFonts w:asciiTheme="minorEastAsia" w:eastAsiaTheme="minorEastAsia" w:hAnsiTheme="minorEastAsia" w:cstheme="minorEastAsia"/>
                <w:b/>
                <w:szCs w:val="21"/>
              </w:rPr>
            </w:pPr>
            <w:r w:rsidRPr="00A62F50">
              <w:rPr>
                <w:rFonts w:asciiTheme="minorEastAsia" w:eastAsiaTheme="minorEastAsia" w:hAnsiTheme="minorEastAsia" w:cstheme="minorEastAsia" w:hint="eastAsia"/>
                <w:b/>
                <w:szCs w:val="21"/>
              </w:rPr>
              <w:t>课题</w:t>
            </w:r>
            <w:r w:rsidRPr="00A62F50">
              <w:rPr>
                <w:rFonts w:asciiTheme="minorEastAsia" w:eastAsiaTheme="minorEastAsia" w:hAnsiTheme="minorEastAsia" w:cstheme="minorEastAsia"/>
                <w:b/>
                <w:szCs w:val="21"/>
              </w:rPr>
              <w:t>方向编号</w:t>
            </w:r>
          </w:p>
        </w:tc>
        <w:tc>
          <w:tcPr>
            <w:tcW w:w="226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62F50" w:rsidRPr="00A62F50" w:rsidRDefault="00A62F50" w:rsidP="00A62F50">
            <w:pPr>
              <w:spacing w:line="320" w:lineRule="exact"/>
              <w:jc w:val="center"/>
              <w:rPr>
                <w:rFonts w:asciiTheme="minorEastAsia" w:eastAsiaTheme="minorEastAsia" w:hAnsiTheme="minorEastAsia" w:cstheme="minorEastAsia"/>
                <w:b/>
                <w:szCs w:val="21"/>
              </w:rPr>
            </w:pPr>
            <w:r w:rsidRPr="00A62F50">
              <w:rPr>
                <w:rFonts w:asciiTheme="minorEastAsia" w:eastAsiaTheme="minorEastAsia" w:hAnsiTheme="minorEastAsia" w:cstheme="minorEastAsia"/>
                <w:b/>
                <w:szCs w:val="21"/>
              </w:rPr>
              <w:t>课题方向</w:t>
            </w:r>
          </w:p>
        </w:tc>
        <w:tc>
          <w:tcPr>
            <w:tcW w:w="565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62F50" w:rsidRPr="00A62F50" w:rsidRDefault="00A62F50" w:rsidP="00A62F50">
            <w:pPr>
              <w:spacing w:line="320" w:lineRule="exact"/>
              <w:jc w:val="center"/>
              <w:rPr>
                <w:rFonts w:asciiTheme="minorEastAsia" w:eastAsiaTheme="minorEastAsia" w:hAnsiTheme="minorEastAsia" w:cstheme="minorEastAsia"/>
                <w:b/>
                <w:szCs w:val="21"/>
              </w:rPr>
            </w:pPr>
            <w:r w:rsidRPr="00A62F50">
              <w:rPr>
                <w:rFonts w:asciiTheme="minorEastAsia" w:eastAsiaTheme="minorEastAsia" w:hAnsiTheme="minorEastAsia" w:cstheme="minorEastAsia"/>
                <w:b/>
                <w:szCs w:val="21"/>
              </w:rPr>
              <w:t>课题研究内容</w:t>
            </w:r>
          </w:p>
        </w:tc>
      </w:tr>
      <w:tr w:rsidR="003C0809" w:rsidTr="00A62F50">
        <w:trPr>
          <w:trHeight w:val="1286"/>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基于新一代信息技术的体育相关专业研究</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高校体育数字化转型与中小学体育数字化应用，支持利用大数据、感知识别、虚拟现实等技术，在智慧场馆建设、体育教学、体质监测、赛事管理等方面开展创新应用研究。通过数据驱动，构建个性化运动处方与精准教学模式，探索虚拟教练、沉浸式训练等新型教学场景，提升教学科学性与学生参与度。开展学生健康动态监测与赛事数据分析，推动体育教学与健康管理融合创新。征集学校应用场景，联合开展技术攻关与科研转化，共同打造智能化、数据化、个性化的数字体育新生态。</w:t>
            </w:r>
          </w:p>
        </w:tc>
      </w:tr>
      <w:tr w:rsidR="003C0809" w:rsidTr="00A62F50">
        <w:trPr>
          <w:trHeight w:val="425"/>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基于新一代信息技术的心理（精神）专业的应用研究</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心理健康全周期管理与危机防控，重点开展医工融合创新应用研究。通过研究智能化心理测评、风险动态预警、精准心理干预、常态化健康预防的全链条智慧管理体系，构建标准化、数字化心理健康服务模型。依托高校科研优势，联合开展心理健康设备研发、AI算法模型优化训练，探索具身智能机器人在心理陪护、情绪疏导、危机干预场景中的创新应用。聚焦睡眠障碍、常见心理及精神健康问题，探索非药物干预技术与治疗方案。通过临床场景实证验证，优化干预模式，形成可落地、可推广的智慧心理健康服务体系，助力精神心理疾病早筛、早防、早治，提升心理卫生健康数字化诊疗服务水平。</w:t>
            </w:r>
          </w:p>
        </w:tc>
      </w:tr>
      <w:tr w:rsidR="003C0809" w:rsidTr="00A62F50">
        <w:trPr>
          <w:trHeight w:val="425"/>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基于新一代信息技术的养老（康复）相关专业的应用研究</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养老与康复学科发展，开展实训室标准化建设、课程体系优化、临床研究及产教融合应用研究，探索“教学-实训-就业”一体化人才培养模式。依托智能床垫、无感转运床等智能康复设备，开展康复器械研发与长期疗效及安全性评估，推动设备智能化升级。结合数字化平台，实现康复数据采集、分析与远程管理，提升老年健康服务的精准性与连续性，为康养服务体系提供技术支撑与实践路径。</w:t>
            </w:r>
          </w:p>
        </w:tc>
      </w:tr>
      <w:tr w:rsidR="003C0809" w:rsidTr="00A62F50">
        <w:trPr>
          <w:trHeight w:val="425"/>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基于新一代信息技术的口腔健康研究</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Pr="00E31DC0"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color w:val="000000" w:themeColor="text1"/>
                <w:sz w:val="20"/>
              </w:rPr>
            </w:pPr>
            <w:r>
              <w:rPr>
                <w:rFonts w:asciiTheme="minorEastAsia" w:eastAsiaTheme="minorEastAsia" w:hAnsiTheme="minorEastAsia" w:cstheme="minorEastAsia" w:hint="eastAsia"/>
                <w:sz w:val="20"/>
              </w:rPr>
              <w:t>以人工智能技术为核心支撑，开展全流程口腔健康诊疗关键技术研究及区域示范应用。联合高校、医疗机构与区域平台，面向构建覆盖口腔健康风险预警、辅助治疗、预后预测及个性</w:t>
            </w:r>
            <w:r>
              <w:rPr>
                <w:rFonts w:asciiTheme="minorEastAsia" w:eastAsiaTheme="minorEastAsia" w:hAnsiTheme="minorEastAsia" w:cstheme="minorEastAsia" w:hint="eastAsia"/>
                <w:sz w:val="20"/>
              </w:rPr>
              <w:lastRenderedPageBreak/>
              <w:t>化干预的全流程诊疗体系，开展口腔组织再生修复材料、智能影像分析、多模态数据融合、口腔健康管理等关键技术研究。面向服务分级诊疗、基层筛查、远程会诊等，构建省域口腔健康大数据平台和技术共享服务平台，开展口腔健康数智化关键技术区域</w:t>
            </w:r>
            <w:r w:rsidRPr="00E31DC0">
              <w:rPr>
                <w:rFonts w:asciiTheme="minorEastAsia" w:eastAsiaTheme="minorEastAsia" w:hAnsiTheme="minorEastAsia" w:cstheme="minorEastAsia" w:hint="eastAsia"/>
                <w:color w:val="000000" w:themeColor="text1"/>
                <w:sz w:val="20"/>
              </w:rPr>
              <w:t>推广应用和示范。</w:t>
            </w:r>
          </w:p>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sidRPr="00E31DC0">
              <w:rPr>
                <w:rFonts w:asciiTheme="minorEastAsia" w:eastAsiaTheme="minorEastAsia" w:hAnsiTheme="minorEastAsia" w:cstheme="minorEastAsia" w:hint="eastAsia"/>
                <w:color w:val="000000" w:themeColor="text1"/>
                <w:sz w:val="20"/>
              </w:rPr>
              <w:t>聚焦牙菌斑形成机理，开展基于新一代信息技术的数字化诊疗策略研究，用信息技术手段进行临床长期疗效与安全性监测，分析个体差异并构建疗效预测模型。同时，围绕诊前、诊中、诊后环节，开展电子处方流转、线上随访、康</w:t>
            </w:r>
            <w:r>
              <w:rPr>
                <w:rFonts w:asciiTheme="minorEastAsia" w:eastAsiaTheme="minorEastAsia" w:hAnsiTheme="minorEastAsia" w:cstheme="minorEastAsia" w:hint="eastAsia"/>
                <w:sz w:val="20"/>
              </w:rPr>
              <w:t>复追踪、患教科普及复诊复购等数字化服务研究，实现诊疗数据的采集、分析、评估和科普。</w:t>
            </w:r>
          </w:p>
        </w:tc>
      </w:tr>
      <w:tr w:rsidR="003C0809" w:rsidTr="00A62F50">
        <w:trPr>
          <w:trHeight w:val="192"/>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lastRenderedPageBreak/>
              <w:t>A05</w:t>
            </w:r>
          </w:p>
        </w:tc>
        <w:tc>
          <w:tcPr>
            <w:tcW w:w="2268" w:type="dxa"/>
            <w:tcBorders>
              <w:top w:val="single" w:sz="4" w:space="0" w:color="auto"/>
              <w:left w:val="single" w:sz="4" w:space="0" w:color="auto"/>
              <w:bottom w:val="single" w:sz="4" w:space="0" w:color="auto"/>
              <w:right w:val="single" w:sz="4" w:space="0" w:color="auto"/>
            </w:tcBorders>
            <w:noWrap/>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基于新一代信息技术的中医中药健康调理方向的研究</w:t>
            </w:r>
          </w:p>
        </w:tc>
        <w:tc>
          <w:tcPr>
            <w:tcW w:w="5659" w:type="dxa"/>
            <w:tcBorders>
              <w:top w:val="single" w:sz="4" w:space="0" w:color="auto"/>
              <w:left w:val="single" w:sz="4" w:space="0" w:color="auto"/>
              <w:bottom w:val="single" w:sz="4" w:space="0" w:color="auto"/>
              <w:right w:val="single" w:sz="4" w:space="0" w:color="auto"/>
            </w:tcBorders>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AI经络调理与声波理疗技术，开展多模态健康评估模型开发、声波频率与经络穴位效应研究、慢性病临床干预方案制定、中医理论数字化转化及设备疗效标准化评价，开展针对内分泌系统、运动系统、消化系统、生殖系统、循环系统、泌尿系统等疾病的多中心试验与效果验证研究，进而建立综合治疗新策略，为疾病防治提供新思路和新方法，实现全周期健康管理。</w:t>
            </w:r>
          </w:p>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中成药再注册的需求，联合高校、医院开展中成药药理、病理以及真实世界研究。依托大数据与智能分析技术，整合药理研究、临床病例及试验数据，系统开展中成药安全性与有效性再评价。重点针对禁忌、不良反应、注意事项等关键信息，构建多源数据融合分析模型，为说明书规范化修订提供科学依据。推动中成药临床应用证据积累与智能化数据平台建设，助力中药现代化与监管科学协同发展。</w:t>
            </w:r>
          </w:p>
        </w:tc>
      </w:tr>
      <w:tr w:rsidR="003C0809" w:rsidTr="00A62F50">
        <w:trPr>
          <w:trHeight w:val="66"/>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A06</w:t>
            </w:r>
          </w:p>
        </w:tc>
        <w:tc>
          <w:tcPr>
            <w:tcW w:w="2268" w:type="dxa"/>
            <w:tcBorders>
              <w:top w:val="single" w:sz="4" w:space="0" w:color="auto"/>
              <w:left w:val="single" w:sz="4" w:space="0" w:color="auto"/>
              <w:bottom w:val="single" w:sz="4" w:space="0" w:color="auto"/>
              <w:right w:val="single" w:sz="4" w:space="0" w:color="auto"/>
            </w:tcBorders>
            <w:noWrap/>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基于新一代信息技术的肿瘤专业相关应用研究</w:t>
            </w:r>
          </w:p>
        </w:tc>
        <w:tc>
          <w:tcPr>
            <w:tcW w:w="5659" w:type="dxa"/>
            <w:tcBorders>
              <w:top w:val="single" w:sz="4" w:space="0" w:color="auto"/>
              <w:left w:val="single" w:sz="4" w:space="0" w:color="auto"/>
              <w:bottom w:val="single" w:sz="4" w:space="0" w:color="auto"/>
              <w:right w:val="single" w:sz="4" w:space="0" w:color="auto"/>
            </w:tcBorders>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肿瘤精准诊疗关键技术，开展基础与临床应用研究。重点围绕肿瘤发生发展机制、早期筛查标志物、个体化治疗靶点等基础科学问题，构建多组学联合分析模型。结合临床数据，研发用于诊断、预后评估及疗效预测的智能算法与风险分层模型。探索新型干预策略，开展药物敏感性与耐药机制研究，推动靶向治疗与免疫治疗的优化应用，提升肿瘤全周期管理水平。</w:t>
            </w:r>
          </w:p>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面向胰腺癌精准诊疗需求，基于高生物亲和力的硅基纳米材料结构、联合人工智能筛选技术，开展胰腺癌特异性的核素药物设计分子影像探针研发，构建诊疗一体化的技术方案，推动临床转化应用及胰腺癌诊疗新范式探索。构建覆盖胰腺癌精准靶点筛选、分子影像探针研制、靶向核素治疗、疗效实时监测及个性化预后评估的全流程精准诊疗体系，设计出具备核素-光学融合的纳米探针载体平台、研发出人工智能辅助的分子探针优化制备方法和高精度多模态融合分子成像方法、制备出核素-光学相结合的胰腺癌特异性诊疗一体化药剂，使胰腺癌检测灵敏度达到纳摩尔级、多模态分子成像的最高分辨率达到微米级，利用纳米药剂进行术前诊断、术中导航等场景的临床示范应用，搭建区域性胰腺癌精准诊疗和技术共享服务平台，促进技术成果的多中心推广。</w:t>
            </w:r>
          </w:p>
        </w:tc>
      </w:tr>
      <w:tr w:rsidR="003C0809" w:rsidTr="00A62F50">
        <w:trPr>
          <w:trHeight w:val="66"/>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A07</w:t>
            </w:r>
          </w:p>
        </w:tc>
        <w:tc>
          <w:tcPr>
            <w:tcW w:w="2268" w:type="dxa"/>
            <w:tcBorders>
              <w:top w:val="single" w:sz="4" w:space="0" w:color="auto"/>
              <w:left w:val="single" w:sz="4" w:space="0" w:color="auto"/>
              <w:bottom w:val="single" w:sz="4" w:space="0" w:color="auto"/>
              <w:right w:val="single" w:sz="4" w:space="0" w:color="auto"/>
            </w:tcBorders>
            <w:noWrap/>
            <w:vAlign w:val="center"/>
          </w:tcPr>
          <w:p w:rsidR="003C0809" w:rsidRDefault="006A7A26">
            <w:pPr>
              <w:tabs>
                <w:tab w:val="left" w:pos="615"/>
              </w:tabs>
              <w:spacing w:beforeLines="10" w:before="31" w:afterLines="10" w:after="31" w:line="280" w:lineRule="exact"/>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基于新一代信息技术的麻醉专业应用研究</w:t>
            </w:r>
          </w:p>
        </w:tc>
        <w:tc>
          <w:tcPr>
            <w:tcW w:w="5659" w:type="dxa"/>
            <w:tcBorders>
              <w:top w:val="single" w:sz="4" w:space="0" w:color="auto"/>
              <w:left w:val="single" w:sz="4" w:space="0" w:color="auto"/>
              <w:bottom w:val="single" w:sz="4" w:space="0" w:color="auto"/>
              <w:right w:val="single" w:sz="4" w:space="0" w:color="auto"/>
            </w:tcBorders>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围手术期麻醉医疗数智化应用，围绕术中精准监测与智能辅助诊疗开展研究。研究无创血流动力学智能监测系统的算法优化与临床适配，依托人工智能技术自动抓取、识别、提炼围手术期血流动力学核心异常问题，实现数据实时解析与风险</w:t>
            </w:r>
            <w:r>
              <w:rPr>
                <w:rFonts w:asciiTheme="minorEastAsia" w:eastAsiaTheme="minorEastAsia" w:hAnsiTheme="minorEastAsia" w:cstheme="minorEastAsia" w:hint="eastAsia"/>
                <w:sz w:val="20"/>
              </w:rPr>
              <w:lastRenderedPageBreak/>
              <w:t>智能研判。构建麻醉专科智能化临床辅助决策系统，实现监测数据自动化分析、报告智能解读与诊疗建议辅助输出，提升麻醉评估的精准度与效率。针对围手术期低体温高发风险，开展数智化体温闭环管理技术研究，探索实时监测、动态预警、精准调控的智能温控干预模式。结合临床真实手术场景开展系统验证与效果评估，形成标准化、可落地的麻醉数智化诊疗方案，助力围手术期医疗质量安全提升与麻醉智慧诊疗体系建设。围绕儿童镇静诊疗操作全过程开展质控研究，形成可推广的标准化质量管理方案。</w:t>
            </w:r>
          </w:p>
        </w:tc>
      </w:tr>
      <w:tr w:rsidR="003C0809" w:rsidTr="00A62F50">
        <w:trPr>
          <w:trHeight w:val="1126"/>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lastRenderedPageBreak/>
              <w:t>A08</w:t>
            </w:r>
          </w:p>
        </w:tc>
        <w:tc>
          <w:tcPr>
            <w:tcW w:w="2268" w:type="dxa"/>
            <w:tcBorders>
              <w:top w:val="single" w:sz="4" w:space="0" w:color="auto"/>
              <w:left w:val="single" w:sz="4" w:space="0" w:color="auto"/>
              <w:bottom w:val="single" w:sz="4" w:space="0" w:color="auto"/>
              <w:right w:val="single" w:sz="4" w:space="0" w:color="auto"/>
            </w:tcBorders>
            <w:noWrap/>
            <w:vAlign w:val="center"/>
          </w:tcPr>
          <w:p w:rsidR="003C0809" w:rsidRDefault="006A7A26">
            <w:pPr>
              <w:tabs>
                <w:tab w:val="left" w:pos="615"/>
              </w:tabs>
              <w:spacing w:beforeLines="10" w:before="31" w:afterLines="10" w:after="31" w:line="280" w:lineRule="exact"/>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基于新一代信息技术的疾病诊断方向研究</w:t>
            </w:r>
          </w:p>
        </w:tc>
        <w:tc>
          <w:tcPr>
            <w:tcW w:w="5659" w:type="dxa"/>
            <w:tcBorders>
              <w:top w:val="single" w:sz="4" w:space="0" w:color="auto"/>
              <w:left w:val="single" w:sz="4" w:space="0" w:color="auto"/>
              <w:bottom w:val="single" w:sz="4" w:space="0" w:color="auto"/>
              <w:right w:val="single" w:sz="4" w:space="0" w:color="auto"/>
            </w:tcBorders>
            <w:noWrap/>
            <w:vAlign w:val="center"/>
          </w:tcPr>
          <w:p w:rsidR="003C0809" w:rsidRPr="00E31DC0"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color w:val="000000" w:themeColor="text1"/>
                <w:sz w:val="20"/>
              </w:rPr>
            </w:pPr>
            <w:r w:rsidRPr="00E31DC0">
              <w:rPr>
                <w:rFonts w:asciiTheme="minorEastAsia" w:eastAsiaTheme="minorEastAsia" w:hAnsiTheme="minorEastAsia" w:cstheme="minorEastAsia" w:hint="eastAsia"/>
                <w:color w:val="000000" w:themeColor="text1"/>
                <w:sz w:val="20"/>
              </w:rPr>
              <w:t>聚焦多类临床常见病、疑难病，开展基于新一代信息技术的疾病诊断研究，利用信息技术优化疾病早期筛查、精准诊断、疗效评估技术路径。整合诊断、干预、康复全流程要素，构建标准化、个体化诊疗策略，形成可推广方案，提升疾病诊断诊疗精准化、规范化水平。</w:t>
            </w:r>
          </w:p>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sidRPr="00E31DC0">
              <w:rPr>
                <w:rFonts w:asciiTheme="minorEastAsia" w:eastAsiaTheme="minorEastAsia" w:hAnsiTheme="minorEastAsia" w:cstheme="minorEastAsia" w:hint="eastAsia"/>
                <w:color w:val="000000" w:themeColor="text1"/>
                <w:sz w:val="20"/>
              </w:rPr>
              <w:t>聚焦急诊诊疗全流</w:t>
            </w:r>
            <w:r>
              <w:rPr>
                <w:rFonts w:asciiTheme="minorEastAsia" w:eastAsiaTheme="minorEastAsia" w:hAnsiTheme="minorEastAsia" w:cstheme="minorEastAsia" w:hint="eastAsia"/>
                <w:sz w:val="20"/>
              </w:rPr>
              <w:t>程数智化升级关键问题，开展医工融合创新研究。围绕急诊院前急救、院内分诊、重症救治、多学科协同、预后管理等核心场景，研究智能预检分诊、危急值智能预警、急救资源智能调度等关键技术。构建急诊智能化临床辅助决策体系，实现诊疗数据实时采集、智能分析与风险精准研判，破解急诊诊疗节奏快、风险高、流程复杂等行业痛点。探索院前院内数据互通、急诊诊疗标准化、流程闭环化的数智化建设路径，优化急诊救治流程、提升危急重症处置效率与医疗安全水平。开展急诊数智化系统的临床实证应用与效果评估，形成适配各级医疗机构、可复制推广的智慧急诊建设方案。</w:t>
            </w:r>
          </w:p>
        </w:tc>
      </w:tr>
      <w:tr w:rsidR="003C0809" w:rsidTr="00A62F50">
        <w:trPr>
          <w:trHeight w:val="152"/>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A09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基于新一代信息技术的资产数字化方向应用研究</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聚焦数据资产化全流程关键环节开展系统性研究。针对数据要素价值量化难点，构建科学合规的数据要素计量体系，明确计量口径、核算方法与价值评估模型，完善数据资产化基础理论与标准框架。聚焦数据知识产权确权、登记、运营与产业化路径，探索数据知识产权转化模式、收益分配机制与风险防控体系，打通数据从资源到资产再到资本的转化链路。选取产业数字化、政务服务、智慧治理等特定真实应用场景，搭建数据资产化模型验证环境，开展数字解决方案的实地测试、效能验证与落地效果评估，分析场景适配性、应用瓶颈与优化方向，形成可复制、可推广的数据资产化实践方案，为数据要素市场化流通与高效利用提供理论支撑与实践参考。</w:t>
            </w:r>
          </w:p>
        </w:tc>
      </w:tr>
      <w:tr w:rsidR="003C0809" w:rsidTr="00A62F50">
        <w:trPr>
          <w:trHeight w:val="192"/>
          <w:jc w:val="center"/>
        </w:trPr>
        <w:tc>
          <w:tcPr>
            <w:tcW w:w="988" w:type="dxa"/>
            <w:tcBorders>
              <w:top w:val="single" w:sz="4" w:space="0" w:color="auto"/>
              <w:left w:val="single" w:sz="4" w:space="0" w:color="auto"/>
              <w:bottom w:val="single" w:sz="4" w:space="0" w:color="auto"/>
              <w:right w:val="single" w:sz="4" w:space="0" w:color="auto"/>
            </w:tcBorders>
            <w:vAlign w:val="center"/>
          </w:tcPr>
          <w:p w:rsidR="003C0809" w:rsidRDefault="006A7A26" w:rsidP="00A62F50">
            <w:pPr>
              <w:tabs>
                <w:tab w:val="left" w:pos="615"/>
              </w:tabs>
              <w:spacing w:beforeLines="10" w:before="31" w:afterLines="10" w:after="31" w:line="28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A10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pPr>
              <w:tabs>
                <w:tab w:val="left" w:pos="615"/>
              </w:tabs>
              <w:spacing w:beforeLines="10" w:before="31" w:afterLines="10" w:after="31" w:line="280" w:lineRule="exact"/>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自选课题</w:t>
            </w:r>
          </w:p>
        </w:tc>
        <w:tc>
          <w:tcPr>
            <w:tcW w:w="5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0809" w:rsidRDefault="006A7A26" w:rsidP="00142D55">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sidRPr="00E31DC0">
              <w:rPr>
                <w:rFonts w:asciiTheme="minorEastAsia" w:eastAsiaTheme="minorEastAsia" w:hAnsiTheme="minorEastAsia" w:cstheme="minorEastAsia" w:hint="eastAsia"/>
                <w:color w:val="000000" w:themeColor="text1"/>
                <w:sz w:val="20"/>
              </w:rPr>
              <w:t>根据自身的条件和专业的优势，申请院校自主选择研究方向进行申报。包括不限于联合基础研究能力比较强的高校团队共同开展基于新一代信息技术的理论验证、概念验证</w:t>
            </w:r>
            <w:r w:rsidR="00142D55" w:rsidRPr="00E31DC0">
              <w:rPr>
                <w:rFonts w:asciiTheme="minorEastAsia" w:eastAsiaTheme="minorEastAsia" w:hAnsiTheme="minorEastAsia" w:cstheme="minorEastAsia" w:hint="eastAsia"/>
                <w:color w:val="000000" w:themeColor="text1"/>
                <w:sz w:val="20"/>
              </w:rPr>
              <w:t>等</w:t>
            </w:r>
            <w:r w:rsidRPr="00E31DC0">
              <w:rPr>
                <w:rFonts w:asciiTheme="minorEastAsia" w:eastAsiaTheme="minorEastAsia" w:hAnsiTheme="minorEastAsia" w:cstheme="minorEastAsia" w:hint="eastAsia"/>
                <w:color w:val="000000" w:themeColor="text1"/>
                <w:sz w:val="20"/>
              </w:rPr>
              <w:t>应用基础研究。</w:t>
            </w:r>
          </w:p>
        </w:tc>
      </w:tr>
    </w:tbl>
    <w:p w:rsidR="003C0809" w:rsidRDefault="003C0809">
      <w:pPr>
        <w:spacing w:line="480" w:lineRule="exact"/>
        <w:rPr>
          <w:rFonts w:asciiTheme="minorEastAsia" w:eastAsiaTheme="minorEastAsia" w:hAnsiTheme="minorEastAsia" w:cstheme="minorEastAsia"/>
          <w:sz w:val="24"/>
          <w:szCs w:val="24"/>
        </w:rPr>
      </w:pPr>
    </w:p>
    <w:p w:rsidR="003C0809" w:rsidRDefault="006A7A26">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二、申报条件和要求</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sz w:val="24"/>
          <w:szCs w:val="24"/>
        </w:rPr>
        <w:t>申请人需具备较强科研能力，能够独立开展研究和组织开展研究，在所申报课题</w:t>
      </w:r>
      <w:bookmarkStart w:id="2" w:name="_Hlk183599318"/>
      <w:r>
        <w:rPr>
          <w:rFonts w:asciiTheme="minorEastAsia" w:eastAsiaTheme="minorEastAsia" w:hAnsiTheme="minorEastAsia" w:cstheme="minorEastAsia"/>
          <w:sz w:val="24"/>
          <w:szCs w:val="24"/>
        </w:rPr>
        <w:t>领域</w:t>
      </w:r>
      <w:bookmarkEnd w:id="2"/>
      <w:r>
        <w:rPr>
          <w:rFonts w:asciiTheme="minorEastAsia" w:eastAsiaTheme="minorEastAsia" w:hAnsiTheme="minorEastAsia" w:cstheme="minorEastAsia"/>
          <w:sz w:val="24"/>
          <w:szCs w:val="24"/>
        </w:rPr>
        <w:t>具备一定的研究基础；</w:t>
      </w:r>
      <w:r>
        <w:rPr>
          <w:rFonts w:asciiTheme="minorEastAsia" w:eastAsiaTheme="minorEastAsia" w:hAnsiTheme="minorEastAsia" w:cstheme="minorEastAsia" w:hint="eastAsia"/>
          <w:sz w:val="24"/>
          <w:szCs w:val="24"/>
        </w:rPr>
        <w:t>团队成员在选定的研究课题方向有较好的技术储备，包括与申报课题研究内容相关的研究成果、教材、论文、专利、获奖等。</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2. 团队组成合理，分工明确，数量不少于3人。</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 优先支持已开展或制定相关研究计划，致力于数字技术赋能教学、科研与行业数字化转型路径创新的团队。</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 优先支持研究内容有创造性、前瞻性和实用性，有可转化前景的课题。</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highlight w:val="yellow"/>
        </w:rPr>
      </w:pPr>
      <w:r>
        <w:rPr>
          <w:rFonts w:asciiTheme="minorEastAsia" w:eastAsiaTheme="minorEastAsia" w:hAnsiTheme="minorEastAsia" w:cstheme="minorEastAsia" w:hint="eastAsia"/>
          <w:sz w:val="24"/>
          <w:szCs w:val="24"/>
        </w:rPr>
        <w:t>5. 优先支持有明确研究成果，成果有应用价值，可复制、可推广的课题。</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 优先支持研究方向明确，研究内容详实，研究方案完整可行的课题。</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 优先支持院校对所申报项目有资金、政策、人员和场地等条件支持的课题。</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w:t>
      </w:r>
      <w:r w:rsidR="00A62F50">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课题申报及执行过程中，</w:t>
      </w:r>
      <w:r>
        <w:rPr>
          <w:rFonts w:eastAsiaTheme="majorEastAsia"/>
          <w:sz w:val="24"/>
          <w:szCs w:val="24"/>
        </w:rPr>
        <w:t>应遵守国家相关法律、法规</w:t>
      </w:r>
      <w:r>
        <w:rPr>
          <w:rFonts w:eastAsiaTheme="majorEastAsia" w:hint="eastAsia"/>
          <w:sz w:val="24"/>
          <w:szCs w:val="24"/>
        </w:rPr>
        <w:t>和</w:t>
      </w:r>
      <w:r>
        <w:rPr>
          <w:rFonts w:eastAsiaTheme="majorEastAsia"/>
          <w:sz w:val="24"/>
          <w:szCs w:val="24"/>
        </w:rPr>
        <w:t>有关规定，</w:t>
      </w:r>
      <w:r>
        <w:rPr>
          <w:rFonts w:eastAsiaTheme="majorEastAsia" w:hint="eastAsia"/>
          <w:sz w:val="24"/>
          <w:szCs w:val="24"/>
        </w:rPr>
        <w:t>基于产品的研究须</w:t>
      </w:r>
      <w:r>
        <w:rPr>
          <w:rFonts w:eastAsiaTheme="majorEastAsia"/>
          <w:sz w:val="24"/>
          <w:szCs w:val="24"/>
        </w:rPr>
        <w:t>按照产品说明书进行研究。</w:t>
      </w:r>
      <w:r>
        <w:rPr>
          <w:rFonts w:eastAsiaTheme="majorEastAsia" w:hint="eastAsia"/>
          <w:sz w:val="24"/>
          <w:szCs w:val="24"/>
        </w:rPr>
        <w:t>如</w:t>
      </w:r>
      <w:r>
        <w:rPr>
          <w:rFonts w:eastAsiaTheme="majorEastAsia"/>
          <w:sz w:val="24"/>
          <w:szCs w:val="24"/>
        </w:rPr>
        <w:t>需深入研究，申请人</w:t>
      </w:r>
      <w:r>
        <w:rPr>
          <w:rFonts w:eastAsiaTheme="majorEastAsia" w:hint="eastAsia"/>
          <w:sz w:val="24"/>
          <w:szCs w:val="24"/>
        </w:rPr>
        <w:t>需依照</w:t>
      </w:r>
      <w:r>
        <w:rPr>
          <w:rFonts w:eastAsiaTheme="majorEastAsia"/>
          <w:sz w:val="24"/>
          <w:szCs w:val="24"/>
        </w:rPr>
        <w:t>国家有关规定履行相</w:t>
      </w:r>
      <w:r>
        <w:rPr>
          <w:rFonts w:eastAsiaTheme="majorEastAsia" w:hint="eastAsia"/>
          <w:sz w:val="24"/>
          <w:szCs w:val="24"/>
        </w:rPr>
        <w:t>应</w:t>
      </w:r>
      <w:r>
        <w:rPr>
          <w:rFonts w:eastAsiaTheme="majorEastAsia"/>
          <w:sz w:val="24"/>
          <w:szCs w:val="24"/>
        </w:rPr>
        <w:t>程序，在立项后提供所在单位伦理委员会审查意见或患者知情同意书等。</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3C0809" w:rsidRDefault="006A7A26" w:rsidP="00A62F50">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 资助课题项目获得的知识产权由合作方和课题项目承担单位共同所有。</w:t>
      </w:r>
    </w:p>
    <w:p w:rsidR="003C0809" w:rsidRDefault="006A7A26" w:rsidP="00A62F50">
      <w:pPr>
        <w:spacing w:line="480" w:lineRule="exact"/>
        <w:ind w:firstLineChars="200" w:firstLine="480"/>
        <w:contextualSpacing/>
        <w:rPr>
          <w:rFonts w:asciiTheme="minorEastAsia" w:eastAsia="PMingLiU" w:hAnsiTheme="minorEastAsia" w:cstheme="minorEastAsia"/>
          <w:sz w:val="24"/>
          <w:szCs w:val="24"/>
          <w:lang w:val="zh-TW" w:eastAsia="zh-TW"/>
        </w:rPr>
      </w:pPr>
      <w:r>
        <w:rPr>
          <w:rFonts w:asciiTheme="minorEastAsia" w:eastAsiaTheme="minorEastAsia" w:hAnsiTheme="minorEastAsia" w:cstheme="minorEastAsia" w:hint="eastAsia"/>
          <w:sz w:val="24"/>
          <w:szCs w:val="24"/>
        </w:rPr>
        <w:t>11.</w:t>
      </w:r>
      <w:r w:rsidR="00A62F50">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lang w:val="zh-TW"/>
        </w:rPr>
        <w:t>课题</w:t>
      </w:r>
      <w:r>
        <w:rPr>
          <w:rFonts w:asciiTheme="minorEastAsia" w:eastAsiaTheme="minorEastAsia" w:hAnsiTheme="minorEastAsia" w:cstheme="minorEastAsia" w:hint="eastAsia"/>
          <w:sz w:val="24"/>
          <w:szCs w:val="24"/>
          <w:lang w:val="zh-TW" w:eastAsia="zh-TW"/>
        </w:rPr>
        <w:t>组在项目开展过程中，需具备可独立支配的研究基础软硬件条件</w:t>
      </w:r>
      <w:r>
        <w:rPr>
          <w:rFonts w:asciiTheme="minorEastAsia" w:eastAsiaTheme="minorEastAsia" w:hAnsiTheme="minorEastAsia" w:cstheme="minorEastAsia" w:hint="eastAsia"/>
          <w:sz w:val="24"/>
          <w:szCs w:val="24"/>
          <w:lang w:val="zh-TW"/>
        </w:rPr>
        <w:t>，</w:t>
      </w:r>
      <w:r>
        <w:rPr>
          <w:rFonts w:asciiTheme="minorEastAsia" w:eastAsiaTheme="minorEastAsia" w:hAnsiTheme="minorEastAsia" w:cstheme="minorEastAsia" w:hint="eastAsia"/>
          <w:sz w:val="24"/>
          <w:szCs w:val="24"/>
          <w:lang w:val="zh-TW" w:eastAsia="zh-TW"/>
        </w:rPr>
        <w:t>如需外部资源支持，须在项目申报书中明确指出。</w:t>
      </w:r>
    </w:p>
    <w:p w:rsidR="003C0809" w:rsidRDefault="003C0809" w:rsidP="00A62F50">
      <w:pPr>
        <w:kinsoku w:val="0"/>
        <w:overflowPunct w:val="0"/>
        <w:autoSpaceDE w:val="0"/>
        <w:autoSpaceDN w:val="0"/>
        <w:adjustRightInd w:val="0"/>
        <w:snapToGrid w:val="0"/>
        <w:spacing w:line="480" w:lineRule="exact"/>
        <w:ind w:firstLineChars="200" w:firstLine="560"/>
        <w:rPr>
          <w:rFonts w:ascii="微软雅黑" w:eastAsia="微软雅黑" w:hAnsi="微软雅黑" w:cstheme="minorEastAsia"/>
          <w:b/>
          <w:bCs/>
          <w:iCs/>
          <w:kern w:val="0"/>
          <w:sz w:val="28"/>
        </w:rPr>
      </w:pPr>
    </w:p>
    <w:p w:rsidR="003C0809" w:rsidRDefault="006A7A26">
      <w:pPr>
        <w:kinsoku w:val="0"/>
        <w:overflowPunct w:val="0"/>
        <w:autoSpaceDE w:val="0"/>
        <w:autoSpaceDN w:val="0"/>
        <w:adjustRightInd w:val="0"/>
        <w:snapToGrid w:val="0"/>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三、资源及服务</w:t>
      </w:r>
    </w:p>
    <w:p w:rsidR="003C0809" w:rsidRDefault="006A7A26">
      <w:pPr>
        <w:widowControl/>
        <w:spacing w:line="480" w:lineRule="exact"/>
        <w:ind w:firstLineChars="200" w:firstLine="480"/>
        <w:rPr>
          <w:rFonts w:ascii="宋体" w:hAnsi="宋体"/>
          <w:sz w:val="24"/>
        </w:rPr>
      </w:pPr>
      <w:r>
        <w:rPr>
          <w:rFonts w:asciiTheme="minorEastAsia" w:eastAsiaTheme="minorEastAsia" w:hAnsiTheme="minorEastAsia" w:cstheme="minorEastAsia" w:hint="eastAsia"/>
          <w:kern w:val="0"/>
          <w:sz w:val="24"/>
          <w:szCs w:val="24"/>
        </w:rPr>
        <w:t>针对入选合作院校，项目发起单位将提供完善的资源和服务体系，以保证院校顺利开展合作课题，并为院校在整体科研筹划方面，提供项目咨询服务和技术支持，辅助科研成果的快速产品化及解决方案的包装。</w:t>
      </w:r>
    </w:p>
    <w:p w:rsidR="003C0809" w:rsidRDefault="006A7A26">
      <w:pPr>
        <w:spacing w:beforeLines="50" w:before="156" w:line="460" w:lineRule="exact"/>
        <w:jc w:val="center"/>
        <w:rPr>
          <w:b/>
          <w:sz w:val="24"/>
        </w:rPr>
      </w:pPr>
      <w:r>
        <w:rPr>
          <w:rFonts w:hint="eastAsia"/>
          <w:b/>
          <w:sz w:val="24"/>
        </w:rPr>
        <w:t>表二 提供给课题研究的软硬件平台说明</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951"/>
        <w:gridCol w:w="5528"/>
      </w:tblGrid>
      <w:tr w:rsidR="00E803B6" w:rsidTr="00E803B6">
        <w:trPr>
          <w:trHeight w:val="630"/>
          <w:jc w:val="center"/>
        </w:trPr>
        <w:tc>
          <w:tcPr>
            <w:tcW w:w="1305" w:type="dxa"/>
            <w:shd w:val="clear" w:color="000000" w:fill="C0C0C0"/>
            <w:vAlign w:val="center"/>
          </w:tcPr>
          <w:p w:rsidR="00E803B6" w:rsidRDefault="00E803B6" w:rsidP="00E803B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技术平台及服务编号</w:t>
            </w:r>
          </w:p>
        </w:tc>
        <w:tc>
          <w:tcPr>
            <w:tcW w:w="1951" w:type="dxa"/>
            <w:shd w:val="clear" w:color="000000" w:fill="C0C0C0"/>
            <w:vAlign w:val="center"/>
          </w:tcPr>
          <w:p w:rsidR="00E803B6" w:rsidRDefault="00E803B6" w:rsidP="00E803B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技术平台及服务</w:t>
            </w:r>
          </w:p>
          <w:p w:rsidR="00E803B6" w:rsidRDefault="00E803B6" w:rsidP="00E803B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名称</w:t>
            </w:r>
          </w:p>
        </w:tc>
        <w:tc>
          <w:tcPr>
            <w:tcW w:w="5528" w:type="dxa"/>
            <w:shd w:val="clear" w:color="000000" w:fill="C0C0C0"/>
            <w:vAlign w:val="center"/>
          </w:tcPr>
          <w:p w:rsidR="00E803B6" w:rsidRDefault="00E803B6" w:rsidP="00E803B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详细介绍</w:t>
            </w:r>
          </w:p>
        </w:tc>
      </w:tr>
      <w:tr w:rsidR="003C0809" w:rsidTr="00E803B6">
        <w:trPr>
          <w:trHeight w:val="1134"/>
          <w:jc w:val="center"/>
        </w:trPr>
        <w:tc>
          <w:tcPr>
            <w:tcW w:w="1305" w:type="dxa"/>
            <w:vAlign w:val="center"/>
          </w:tcPr>
          <w:p w:rsidR="003C0809" w:rsidRDefault="006A7A26">
            <w:pPr>
              <w:spacing w:beforeLines="10" w:before="31" w:afterLines="10" w:after="31" w:line="280" w:lineRule="exact"/>
              <w:jc w:val="center"/>
              <w:rPr>
                <w:rFonts w:ascii="宋体" w:hAnsi="宋体"/>
                <w:sz w:val="20"/>
              </w:rPr>
            </w:pPr>
            <w:r>
              <w:rPr>
                <w:rFonts w:ascii="宋体" w:hAnsi="宋体" w:hint="eastAsia"/>
                <w:sz w:val="20"/>
              </w:rPr>
              <w:t>B01</w:t>
            </w:r>
          </w:p>
        </w:tc>
        <w:tc>
          <w:tcPr>
            <w:tcW w:w="1951" w:type="dxa"/>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多模态微表情AIoT Paas平台</w:t>
            </w:r>
          </w:p>
        </w:tc>
        <w:tc>
          <w:tcPr>
            <w:tcW w:w="5528" w:type="dxa"/>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基于微表情的人工智能算法，可准确识别厌恶、愤怒、恐惧、悲伤、轻蔑等表情，可无接触评测血氧、血压、体温等指标。可供对接建档筛查、评估诊断、危机预警、危机干预、疏导援助、科普预防等系统，建设全方位的心理健康管理体系。</w:t>
            </w:r>
          </w:p>
        </w:tc>
      </w:tr>
      <w:tr w:rsidR="003C0809" w:rsidTr="00E803B6">
        <w:trPr>
          <w:trHeight w:val="1134"/>
          <w:jc w:val="center"/>
        </w:trPr>
        <w:tc>
          <w:tcPr>
            <w:tcW w:w="1305" w:type="dxa"/>
            <w:vAlign w:val="center"/>
          </w:tcPr>
          <w:p w:rsidR="003C0809" w:rsidRDefault="006A7A26">
            <w:pPr>
              <w:spacing w:beforeLines="10" w:before="31" w:afterLines="10" w:after="31" w:line="280" w:lineRule="exact"/>
              <w:jc w:val="center"/>
              <w:rPr>
                <w:rFonts w:ascii="宋体" w:hAnsi="宋体"/>
                <w:sz w:val="20"/>
              </w:rPr>
            </w:pPr>
            <w:r>
              <w:rPr>
                <w:rFonts w:ascii="宋体" w:hAnsi="宋体" w:hint="eastAsia"/>
                <w:sz w:val="20"/>
              </w:rPr>
              <w:lastRenderedPageBreak/>
              <w:t>B</w:t>
            </w:r>
            <w:r>
              <w:rPr>
                <w:rFonts w:ascii="宋体" w:hAnsi="宋体"/>
                <w:sz w:val="20"/>
              </w:rPr>
              <w:t>02</w:t>
            </w:r>
          </w:p>
        </w:tc>
        <w:tc>
          <w:tcPr>
            <w:tcW w:w="1951" w:type="dxa"/>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智慧体育管理服务平台</w:t>
            </w:r>
          </w:p>
        </w:tc>
        <w:tc>
          <w:tcPr>
            <w:tcW w:w="5528" w:type="dxa"/>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系统可实现学生运动无感化，智能化识别检测，自动计算运动成绩，分析学生的动作姿态相关数据，并给出针对性的智能报告，指导学生高效训练并促进提升体育成绩，同时为学生建立全面的体育评测数据档案，改善学校的体育教学工作，实现教学、测试、练习、综合评价等多场景应用，可做到常态化教学练测评闭环。</w:t>
            </w:r>
          </w:p>
        </w:tc>
      </w:tr>
      <w:tr w:rsidR="003C0809" w:rsidTr="00E803B6">
        <w:trPr>
          <w:trHeight w:val="1134"/>
          <w:jc w:val="center"/>
        </w:trPr>
        <w:tc>
          <w:tcPr>
            <w:tcW w:w="1305" w:type="dxa"/>
            <w:vAlign w:val="center"/>
          </w:tcPr>
          <w:p w:rsidR="003C0809" w:rsidRDefault="006A7A26">
            <w:pPr>
              <w:spacing w:beforeLines="10" w:before="31" w:afterLines="10" w:after="31" w:line="280" w:lineRule="exact"/>
              <w:jc w:val="center"/>
              <w:rPr>
                <w:rFonts w:ascii="宋体" w:hAnsi="宋体"/>
                <w:sz w:val="20"/>
              </w:rPr>
            </w:pPr>
            <w:r>
              <w:rPr>
                <w:rFonts w:ascii="宋体" w:hAnsi="宋体" w:hint="eastAsia"/>
                <w:sz w:val="20"/>
              </w:rPr>
              <w:t>B03</w:t>
            </w:r>
          </w:p>
        </w:tc>
        <w:tc>
          <w:tcPr>
            <w:tcW w:w="1951" w:type="dxa"/>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AI运动视觉算法</w:t>
            </w:r>
          </w:p>
        </w:tc>
        <w:tc>
          <w:tcPr>
            <w:tcW w:w="5528" w:type="dxa"/>
            <w:vAlign w:val="center"/>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可实现人体运动自动识别，特征提取，动态实时抓取，分析违规动作、运动轨迹。可识别人体关键点，分析捕捉用户特征，进行动作的实时指导，完成训练有效评估。</w:t>
            </w:r>
          </w:p>
        </w:tc>
      </w:tr>
      <w:tr w:rsidR="003C0809" w:rsidTr="00E803B6">
        <w:trPr>
          <w:trHeight w:val="1134"/>
          <w:jc w:val="center"/>
        </w:trPr>
        <w:tc>
          <w:tcPr>
            <w:tcW w:w="1305" w:type="dxa"/>
            <w:tcBorders>
              <w:top w:val="single" w:sz="4" w:space="0" w:color="auto"/>
              <w:left w:val="single" w:sz="4" w:space="0" w:color="auto"/>
              <w:bottom w:val="single" w:sz="4" w:space="0" w:color="auto"/>
              <w:right w:val="single" w:sz="4" w:space="0" w:color="auto"/>
            </w:tcBorders>
            <w:vAlign w:val="center"/>
          </w:tcPr>
          <w:p w:rsidR="003C0809" w:rsidRDefault="006A7A26">
            <w:pPr>
              <w:spacing w:beforeLines="10" w:before="31" w:afterLines="10" w:after="31" w:line="280" w:lineRule="exact"/>
              <w:jc w:val="center"/>
              <w:rPr>
                <w:rFonts w:ascii="宋体" w:hAnsi="宋体"/>
                <w:color w:val="C00000"/>
                <w:sz w:val="20"/>
              </w:rPr>
            </w:pPr>
            <w:r>
              <w:rPr>
                <w:rFonts w:ascii="宋体" w:hAnsi="宋体" w:hint="eastAsia"/>
                <w:sz w:val="20"/>
              </w:rPr>
              <w:t>B04</w:t>
            </w:r>
          </w:p>
        </w:tc>
        <w:tc>
          <w:tcPr>
            <w:tcW w:w="1951" w:type="dxa"/>
            <w:tcBorders>
              <w:top w:val="single" w:sz="4" w:space="0" w:color="auto"/>
              <w:left w:val="single" w:sz="4" w:space="0" w:color="auto"/>
              <w:bottom w:val="single" w:sz="4" w:space="0" w:color="auto"/>
              <w:right w:val="single" w:sz="4" w:space="0" w:color="auto"/>
            </w:tcBorders>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患者健康管理系统</w:t>
            </w:r>
          </w:p>
        </w:tc>
        <w:tc>
          <w:tcPr>
            <w:tcW w:w="5528" w:type="dxa"/>
            <w:tcBorders>
              <w:top w:val="single" w:sz="4" w:space="0" w:color="auto"/>
              <w:left w:val="single" w:sz="4" w:space="0" w:color="auto"/>
              <w:bottom w:val="single" w:sz="4" w:space="0" w:color="auto"/>
              <w:right w:val="single" w:sz="4" w:space="0" w:color="auto"/>
            </w:tcBorders>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通过科学、合理、系统的临床研究设计方案，可方便、有效地推行各项医学研究，通过在线数字化智能管理，方便用户招募入组；通过文字、图片等多种手段，详尽、全面地记录患者各项档案数据；通过IM即时通讯技术，快速搭建医患沟通桥梁，方便医患之间进行实时沟通；通过一系列医学专业知识的内容推送，方便用户第一时间了解、掌握医学前沿。</w:t>
            </w:r>
          </w:p>
        </w:tc>
      </w:tr>
      <w:tr w:rsidR="003C0809" w:rsidTr="00E803B6">
        <w:trPr>
          <w:trHeight w:val="1134"/>
          <w:jc w:val="center"/>
        </w:trPr>
        <w:tc>
          <w:tcPr>
            <w:tcW w:w="1305" w:type="dxa"/>
            <w:tcBorders>
              <w:top w:val="single" w:sz="4" w:space="0" w:color="auto"/>
              <w:left w:val="single" w:sz="4" w:space="0" w:color="auto"/>
              <w:bottom w:val="single" w:sz="4" w:space="0" w:color="auto"/>
              <w:right w:val="single" w:sz="4" w:space="0" w:color="auto"/>
            </w:tcBorders>
            <w:vAlign w:val="center"/>
          </w:tcPr>
          <w:p w:rsidR="003C0809" w:rsidRDefault="006A7A26">
            <w:pPr>
              <w:spacing w:beforeLines="10" w:before="31" w:afterLines="10" w:after="31" w:line="280" w:lineRule="exact"/>
              <w:jc w:val="center"/>
              <w:rPr>
                <w:rFonts w:ascii="宋体" w:hAnsi="宋体"/>
                <w:sz w:val="20"/>
              </w:rPr>
            </w:pPr>
            <w:r>
              <w:rPr>
                <w:rFonts w:ascii="宋体" w:hAnsi="宋体" w:hint="eastAsia"/>
                <w:sz w:val="20"/>
              </w:rPr>
              <w:t>B05</w:t>
            </w:r>
          </w:p>
        </w:tc>
        <w:tc>
          <w:tcPr>
            <w:tcW w:w="1951" w:type="dxa"/>
            <w:tcBorders>
              <w:top w:val="single" w:sz="4" w:space="0" w:color="auto"/>
              <w:left w:val="single" w:sz="4" w:space="0" w:color="auto"/>
              <w:bottom w:val="single" w:sz="4" w:space="0" w:color="auto"/>
              <w:right w:val="single" w:sz="4" w:space="0" w:color="auto"/>
            </w:tcBorders>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患者随访跟踪服务平台</w:t>
            </w:r>
          </w:p>
        </w:tc>
        <w:tc>
          <w:tcPr>
            <w:tcW w:w="5528" w:type="dxa"/>
            <w:tcBorders>
              <w:top w:val="single" w:sz="4" w:space="0" w:color="auto"/>
              <w:left w:val="single" w:sz="4" w:space="0" w:color="auto"/>
              <w:bottom w:val="single" w:sz="4" w:space="0" w:color="auto"/>
              <w:right w:val="single" w:sz="4" w:space="0" w:color="auto"/>
            </w:tcBorders>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平台是以监护对象管理为中心并支持多项目管理的智能随访平台。基于临床研究中的场景需求及管理与运营过程中的痛点，实现监护对象知情、监护对象管理、随访、智能统计、健康宣教等场景功能深度整合；基于功能模块化的开发设计，可针对不同场景（教学、社区、居家、临床研究）的特点，为监护对象管理和项目管理提供个性化支持。</w:t>
            </w:r>
          </w:p>
        </w:tc>
      </w:tr>
      <w:tr w:rsidR="003C0809" w:rsidTr="00E803B6">
        <w:trPr>
          <w:trHeight w:val="500"/>
          <w:jc w:val="center"/>
        </w:trPr>
        <w:tc>
          <w:tcPr>
            <w:tcW w:w="1305" w:type="dxa"/>
            <w:tcBorders>
              <w:top w:val="single" w:sz="4" w:space="0" w:color="auto"/>
              <w:left w:val="single" w:sz="4" w:space="0" w:color="auto"/>
              <w:bottom w:val="single" w:sz="4" w:space="0" w:color="auto"/>
              <w:right w:val="single" w:sz="4" w:space="0" w:color="auto"/>
            </w:tcBorders>
            <w:vAlign w:val="center"/>
          </w:tcPr>
          <w:p w:rsidR="003C0809" w:rsidRDefault="006A7A26">
            <w:pPr>
              <w:spacing w:beforeLines="10" w:before="31" w:afterLines="10" w:after="31" w:line="280" w:lineRule="exact"/>
              <w:jc w:val="center"/>
              <w:rPr>
                <w:rFonts w:ascii="宋体" w:hAnsi="宋体"/>
                <w:sz w:val="20"/>
              </w:rPr>
            </w:pPr>
            <w:r>
              <w:rPr>
                <w:rFonts w:ascii="宋体" w:hAnsi="宋体" w:hint="eastAsia"/>
                <w:sz w:val="20"/>
              </w:rPr>
              <w:t>B06</w:t>
            </w:r>
          </w:p>
        </w:tc>
        <w:tc>
          <w:tcPr>
            <w:tcW w:w="1951" w:type="dxa"/>
            <w:tcBorders>
              <w:top w:val="single" w:sz="4" w:space="0" w:color="auto"/>
              <w:left w:val="single" w:sz="4" w:space="0" w:color="auto"/>
              <w:bottom w:val="single" w:sz="4" w:space="0" w:color="auto"/>
              <w:right w:val="single" w:sz="4" w:space="0" w:color="auto"/>
            </w:tcBorders>
            <w:vAlign w:val="center"/>
          </w:tcPr>
          <w:p w:rsidR="003C0809" w:rsidRDefault="006A7A26">
            <w:pPr>
              <w:tabs>
                <w:tab w:val="left" w:pos="615"/>
              </w:tabs>
              <w:spacing w:beforeLines="10" w:before="31" w:afterLines="10" w:after="31" w:line="280" w:lineRule="exac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急诊预检分诊平台</w:t>
            </w:r>
          </w:p>
        </w:tc>
        <w:tc>
          <w:tcPr>
            <w:tcW w:w="5528" w:type="dxa"/>
            <w:tcBorders>
              <w:top w:val="single" w:sz="4" w:space="0" w:color="auto"/>
              <w:left w:val="single" w:sz="4" w:space="0" w:color="auto"/>
              <w:bottom w:val="single" w:sz="4" w:space="0" w:color="auto"/>
              <w:right w:val="single" w:sz="4" w:space="0" w:color="auto"/>
            </w:tcBorders>
          </w:tcPr>
          <w:p w:rsidR="003C0809" w:rsidRDefault="006A7A26" w:rsidP="00A62F50">
            <w:pPr>
              <w:tabs>
                <w:tab w:val="left" w:pos="615"/>
              </w:tabs>
              <w:spacing w:beforeLines="10" w:before="31" w:afterLines="10" w:after="31" w:line="280" w:lineRule="exact"/>
              <w:ind w:firstLineChars="200" w:firstLine="40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医护一体化设计，实现急诊抢救、留观、诊疗患者统一管理，涵盖医生和护士日常工作需求，实现急诊抢救、留观、诊疗患者电子医嘱的闭环管理。护士审核医嘱，医生可直观了解医嘱执行情进展；实现急诊科人员管理、护理信息统计、文件管理、敏感指标分析等功能，患者输液业务的闭环管理。检查、检验信息可直接在急诊系统查看。</w:t>
            </w:r>
          </w:p>
        </w:tc>
      </w:tr>
    </w:tbl>
    <w:p w:rsidR="003C0809" w:rsidRDefault="003C0809">
      <w:pPr>
        <w:rPr>
          <w:rFonts w:asciiTheme="minorEastAsia" w:eastAsia="PMingLiU" w:hAnsiTheme="minorEastAsia" w:cstheme="minorEastAsia"/>
          <w:sz w:val="24"/>
          <w:szCs w:val="24"/>
          <w:lang w:val="zh-TW" w:eastAsia="zh-TW"/>
        </w:rPr>
      </w:pPr>
    </w:p>
    <w:p w:rsidR="003C0809" w:rsidRDefault="006A7A26">
      <w:pPr>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四、课题申报说明</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1. 申请人须仔细阅读申请指南，按照指南详细填写申请书，填写不合要求的课题会按照格式不符合要求处理。</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2. 请各课题申请人按要求填写申请书（申请书中手机和邮箱必须填写），加盖公章及签字后扫描上传至：</w:t>
      </w:r>
      <w:r>
        <w:rPr>
          <w:rFonts w:asciiTheme="minorEastAsia" w:eastAsiaTheme="minorEastAsia" w:hAnsiTheme="minorEastAsia" w:cstheme="minorEastAsia" w:hint="eastAsia"/>
          <w:b/>
          <w:iCs/>
          <w:kern w:val="0"/>
          <w:sz w:val="24"/>
          <w:szCs w:val="24"/>
        </w:rPr>
        <w:t>https://cxjj.cutech.edu.cn</w:t>
      </w:r>
      <w:r>
        <w:rPr>
          <w:rFonts w:asciiTheme="minorEastAsia" w:eastAsiaTheme="minorEastAsia" w:hAnsiTheme="minorEastAsia" w:cstheme="minorEastAsia" w:hint="eastAsia"/>
          <w:iCs/>
          <w:kern w:val="0"/>
          <w:sz w:val="24"/>
          <w:szCs w:val="24"/>
        </w:rPr>
        <w:t>；为方便评审，申请书扫描件请按以下命名规则命名：学校名称+申请人姓名。</w:t>
      </w:r>
    </w:p>
    <w:p w:rsidR="003C0809" w:rsidRDefault="006A7A26">
      <w:pPr>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3</w:t>
      </w:r>
      <w:r>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申请书书面材料一份，邮寄至：北京市海淀区中关村大街35号80</w:t>
      </w:r>
      <w:r>
        <w:rPr>
          <w:rFonts w:asciiTheme="minorEastAsia" w:eastAsiaTheme="minorEastAsia" w:hAnsiTheme="minorEastAsia" w:cstheme="minorEastAsia"/>
          <w:iCs/>
          <w:kern w:val="0"/>
          <w:sz w:val="24"/>
          <w:szCs w:val="24"/>
        </w:rPr>
        <w:t>3</w:t>
      </w:r>
      <w:r>
        <w:rPr>
          <w:rFonts w:asciiTheme="minorEastAsia" w:eastAsiaTheme="minorEastAsia" w:hAnsiTheme="minorEastAsia" w:cstheme="minorEastAsia" w:hint="eastAsia"/>
          <w:iCs/>
          <w:kern w:val="0"/>
          <w:sz w:val="24"/>
          <w:szCs w:val="24"/>
        </w:rPr>
        <w:t>室，教育部高等学校科学研究发展中心信息化研究发展处。</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4</w:t>
      </w:r>
      <w:r>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申请截止时间为2027年3月5日。</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kern w:val="0"/>
          <w:sz w:val="24"/>
          <w:szCs w:val="24"/>
        </w:rPr>
        <w:t>5</w:t>
      </w:r>
      <w:r>
        <w:rPr>
          <w:rFonts w:asciiTheme="minorEastAsia" w:eastAsiaTheme="minorEastAsia" w:hAnsiTheme="minorEastAsia" w:cstheme="minorEastAsia" w:hint="eastAsia"/>
          <w:iCs/>
          <w:kern w:val="0"/>
          <w:sz w:val="24"/>
          <w:szCs w:val="24"/>
        </w:rPr>
        <w:t>. 课题的</w:t>
      </w:r>
      <w:r>
        <w:rPr>
          <w:rFonts w:asciiTheme="minorEastAsia" w:eastAsiaTheme="minorEastAsia" w:hAnsiTheme="minorEastAsia" w:cstheme="minorEastAsia" w:hint="eastAsia"/>
          <w:sz w:val="24"/>
          <w:szCs w:val="24"/>
        </w:rPr>
        <w:t>计划执行时间为2027年9月</w:t>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t>日～2028年12月</w:t>
      </w:r>
      <w:r>
        <w:rPr>
          <w:rFonts w:asciiTheme="minorEastAsia" w:eastAsiaTheme="minorEastAsia" w:hAnsiTheme="minorEastAsia" w:cstheme="minorEastAsia"/>
          <w:sz w:val="24"/>
          <w:szCs w:val="24"/>
        </w:rPr>
        <w:t>3</w:t>
      </w:r>
      <w:r>
        <w:rPr>
          <w:rFonts w:asciiTheme="minorEastAsia" w:eastAsiaTheme="minorEastAsia" w:hAnsiTheme="minorEastAsia" w:cstheme="minorEastAsia" w:hint="eastAsia"/>
          <w:sz w:val="24"/>
          <w:szCs w:val="24"/>
        </w:rPr>
        <w:t>1日，可根据课题复杂程度适度延长执行周期，最长不超过三年。</w:t>
      </w:r>
    </w:p>
    <w:p w:rsidR="003C0809" w:rsidRDefault="006A7A26">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iCs/>
          <w:kern w:val="0"/>
          <w:sz w:val="24"/>
          <w:szCs w:val="24"/>
        </w:rPr>
        <w:lastRenderedPageBreak/>
        <w:t>6</w:t>
      </w:r>
      <w:r>
        <w:rPr>
          <w:rFonts w:asciiTheme="minorEastAsia" w:eastAsiaTheme="minorEastAsia" w:hAnsiTheme="minorEastAsia" w:cstheme="minorEastAsia" w:hint="eastAsia"/>
          <w:iCs/>
          <w:kern w:val="0"/>
          <w:sz w:val="24"/>
          <w:szCs w:val="24"/>
        </w:rPr>
        <w:t>.</w:t>
      </w:r>
      <w:r>
        <w:rPr>
          <w:rFonts w:asciiTheme="minorEastAsia" w:eastAsiaTheme="minorEastAsia" w:hAnsiTheme="minorEastAsia" w:cstheme="minorEastAsia" w:hint="eastAsia"/>
          <w:sz w:val="24"/>
          <w:szCs w:val="24"/>
        </w:rPr>
        <w:t xml:space="preserve"> 每位申报人限报一项课题。</w:t>
      </w:r>
    </w:p>
    <w:p w:rsidR="003C0809" w:rsidRDefault="006A7A26">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sz w:val="24"/>
          <w:szCs w:val="24"/>
        </w:rPr>
        <w:t>7</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iCs/>
          <w:kern w:val="0"/>
          <w:sz w:val="24"/>
          <w:szCs w:val="24"/>
        </w:rPr>
        <w:t>课题选题列表上的选题方向都不限定课题数量，但是如果存在内容重复的相似课题，专家组将根据课题组技术积累、课题方案、课题支撑条件等要素择优选择资助课题。</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kern w:val="0"/>
          <w:sz w:val="24"/>
          <w:szCs w:val="24"/>
        </w:rPr>
        <w:t>8</w:t>
      </w:r>
      <w:r>
        <w:rPr>
          <w:rFonts w:asciiTheme="minorEastAsia" w:eastAsiaTheme="minorEastAsia" w:hAnsiTheme="minorEastAsia" w:cstheme="minorEastAsia" w:hint="eastAsia"/>
          <w:iCs/>
          <w:kern w:val="0"/>
          <w:sz w:val="24"/>
          <w:szCs w:val="24"/>
        </w:rPr>
        <w:t>. 如果以联合课题组的形式申请课题，需要列明不同学校单位的课题任务。</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szCs w:val="24"/>
        </w:rPr>
      </w:pPr>
      <w:r>
        <w:rPr>
          <w:rFonts w:asciiTheme="minorEastAsia" w:eastAsiaTheme="minorEastAsia" w:hAnsiTheme="minorEastAsia" w:cstheme="minorEastAsia"/>
          <w:bCs/>
          <w:iCs/>
          <w:kern w:val="0"/>
          <w:sz w:val="24"/>
          <w:szCs w:val="24"/>
        </w:rPr>
        <w:t>9</w:t>
      </w:r>
      <w:r>
        <w:rPr>
          <w:rFonts w:asciiTheme="minorEastAsia" w:eastAsiaTheme="minorEastAsia" w:hAnsiTheme="minorEastAsia" w:cstheme="minorEastAsia" w:hint="eastAsia"/>
          <w:bCs/>
          <w:iCs/>
          <w:kern w:val="0"/>
          <w:sz w:val="24"/>
          <w:szCs w:val="24"/>
        </w:rPr>
        <w:t>. 课题申请人无需向资助企业额外购买配套设备或软件。</w:t>
      </w:r>
    </w:p>
    <w:p w:rsidR="003C0809" w:rsidRDefault="003C0809">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p>
    <w:p w:rsidR="003C0809" w:rsidRDefault="006A7A26">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五、联系人及联系方式</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教育部高等学校科学研究发展中心：</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张  杰     电话：010-62514689</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河北国云数据科技有限公司：</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李  静    </w:t>
      </w:r>
      <w:r w:rsidR="00A62F50">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电话：13269496826</w:t>
      </w:r>
    </w:p>
    <w:p w:rsidR="003C0809" w:rsidRDefault="006A7A2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赵  昶    </w:t>
      </w:r>
      <w:r w:rsidR="00A62F50">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电话：18803113010</w:t>
      </w:r>
    </w:p>
    <w:p w:rsidR="003C0809" w:rsidRPr="00A62F50" w:rsidRDefault="006A7A26" w:rsidP="00A62F5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李  超    </w:t>
      </w:r>
      <w:r w:rsidR="00A62F50">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电话：13810531272</w:t>
      </w:r>
    </w:p>
    <w:sectPr w:rsidR="003C0809" w:rsidRPr="00A62F50">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D15" w:rsidRDefault="00501D15"/>
  </w:endnote>
  <w:endnote w:type="continuationSeparator" w:id="0">
    <w:p w:rsidR="00501D15" w:rsidRDefault="00501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auto"/>
    <w:pitch w:val="default"/>
    <w:sig w:usb0="00000000" w:usb1="0000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D15" w:rsidRDefault="00501D15"/>
  </w:footnote>
  <w:footnote w:type="continuationSeparator" w:id="0">
    <w:p w:rsidR="00501D15" w:rsidRDefault="00501D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7E70FF5"/>
    <w:rsid w:val="B7E9DE32"/>
    <w:rsid w:val="B8EFD28B"/>
    <w:rsid w:val="BEAF24B8"/>
    <w:rsid w:val="BF6BBD72"/>
    <w:rsid w:val="BF7D9E16"/>
    <w:rsid w:val="BFB70AD6"/>
    <w:rsid w:val="C3BFE198"/>
    <w:rsid w:val="C7B72B57"/>
    <w:rsid w:val="D671CEEE"/>
    <w:rsid w:val="DFF764D0"/>
    <w:rsid w:val="E66BFFE3"/>
    <w:rsid w:val="EABF2B4D"/>
    <w:rsid w:val="EBF1BFC4"/>
    <w:rsid w:val="EDBFA53E"/>
    <w:rsid w:val="EEBEB8F5"/>
    <w:rsid w:val="EFEE54E2"/>
    <w:rsid w:val="EFFD6236"/>
    <w:rsid w:val="F777DBAB"/>
    <w:rsid w:val="F7E70FF5"/>
    <w:rsid w:val="F7F5CA94"/>
    <w:rsid w:val="FACEE0A3"/>
    <w:rsid w:val="FB372BA5"/>
    <w:rsid w:val="FBEFEA64"/>
    <w:rsid w:val="FBFFD3FE"/>
    <w:rsid w:val="FDF3CD2E"/>
    <w:rsid w:val="FE7F87AF"/>
    <w:rsid w:val="FEBC58C3"/>
    <w:rsid w:val="FF9E5F19"/>
    <w:rsid w:val="FFAF7481"/>
    <w:rsid w:val="FFDD5196"/>
    <w:rsid w:val="FFF7200F"/>
    <w:rsid w:val="000222C2"/>
    <w:rsid w:val="0006460A"/>
    <w:rsid w:val="00141698"/>
    <w:rsid w:val="00142D55"/>
    <w:rsid w:val="00167564"/>
    <w:rsid w:val="00194A01"/>
    <w:rsid w:val="001C7CF6"/>
    <w:rsid w:val="001F1445"/>
    <w:rsid w:val="00293EA1"/>
    <w:rsid w:val="002B16D0"/>
    <w:rsid w:val="002C441E"/>
    <w:rsid w:val="002F3F5B"/>
    <w:rsid w:val="003C0809"/>
    <w:rsid w:val="003D645B"/>
    <w:rsid w:val="003E0D79"/>
    <w:rsid w:val="003F0FF9"/>
    <w:rsid w:val="00464C65"/>
    <w:rsid w:val="00467817"/>
    <w:rsid w:val="004A349E"/>
    <w:rsid w:val="004C343E"/>
    <w:rsid w:val="00501D15"/>
    <w:rsid w:val="00506593"/>
    <w:rsid w:val="00597FDC"/>
    <w:rsid w:val="006204A8"/>
    <w:rsid w:val="00642EA5"/>
    <w:rsid w:val="00654744"/>
    <w:rsid w:val="006A0003"/>
    <w:rsid w:val="006A7A26"/>
    <w:rsid w:val="006E3577"/>
    <w:rsid w:val="00722375"/>
    <w:rsid w:val="00745AE5"/>
    <w:rsid w:val="00873B2F"/>
    <w:rsid w:val="008A1A31"/>
    <w:rsid w:val="00947B3F"/>
    <w:rsid w:val="00973B55"/>
    <w:rsid w:val="009A6243"/>
    <w:rsid w:val="00A139FB"/>
    <w:rsid w:val="00A61053"/>
    <w:rsid w:val="00A62F50"/>
    <w:rsid w:val="00AF002C"/>
    <w:rsid w:val="00AF7D63"/>
    <w:rsid w:val="00B737ED"/>
    <w:rsid w:val="00BB0629"/>
    <w:rsid w:val="00C6734D"/>
    <w:rsid w:val="00D11127"/>
    <w:rsid w:val="00DA6543"/>
    <w:rsid w:val="00DA79CC"/>
    <w:rsid w:val="00DD1466"/>
    <w:rsid w:val="00E31DC0"/>
    <w:rsid w:val="00E37376"/>
    <w:rsid w:val="00E803B6"/>
    <w:rsid w:val="00EE48C6"/>
    <w:rsid w:val="00EF6379"/>
    <w:rsid w:val="00FE01EE"/>
    <w:rsid w:val="00FE7CEA"/>
    <w:rsid w:val="016E3EB9"/>
    <w:rsid w:val="022A1CE1"/>
    <w:rsid w:val="0385634A"/>
    <w:rsid w:val="048B29DE"/>
    <w:rsid w:val="052E47BF"/>
    <w:rsid w:val="07A6493C"/>
    <w:rsid w:val="083C410F"/>
    <w:rsid w:val="08A405CB"/>
    <w:rsid w:val="0AA7139B"/>
    <w:rsid w:val="0AC775F6"/>
    <w:rsid w:val="0B3B672B"/>
    <w:rsid w:val="0D7F0395"/>
    <w:rsid w:val="10351CF7"/>
    <w:rsid w:val="119262D0"/>
    <w:rsid w:val="11B3567B"/>
    <w:rsid w:val="123450CA"/>
    <w:rsid w:val="129A5602"/>
    <w:rsid w:val="12C22DBF"/>
    <w:rsid w:val="163F1BE5"/>
    <w:rsid w:val="16C15B89"/>
    <w:rsid w:val="178B4D63"/>
    <w:rsid w:val="18375373"/>
    <w:rsid w:val="18750157"/>
    <w:rsid w:val="1A0B5B4A"/>
    <w:rsid w:val="1A0F3E74"/>
    <w:rsid w:val="1AB05C5E"/>
    <w:rsid w:val="1B2129A5"/>
    <w:rsid w:val="1B77269D"/>
    <w:rsid w:val="1B90626D"/>
    <w:rsid w:val="1BAE600F"/>
    <w:rsid w:val="1C0A168B"/>
    <w:rsid w:val="1CEC2B3E"/>
    <w:rsid w:val="1DB763EC"/>
    <w:rsid w:val="1EEB212E"/>
    <w:rsid w:val="1F0C0E92"/>
    <w:rsid w:val="1F696A17"/>
    <w:rsid w:val="1FC43800"/>
    <w:rsid w:val="1FFFE4CC"/>
    <w:rsid w:val="204E0E75"/>
    <w:rsid w:val="2265636E"/>
    <w:rsid w:val="23241284"/>
    <w:rsid w:val="251B2213"/>
    <w:rsid w:val="25F56AF2"/>
    <w:rsid w:val="25FD0462"/>
    <w:rsid w:val="263537A8"/>
    <w:rsid w:val="29053906"/>
    <w:rsid w:val="2969323C"/>
    <w:rsid w:val="29CE5AA6"/>
    <w:rsid w:val="2AF36A2A"/>
    <w:rsid w:val="2B9B40AD"/>
    <w:rsid w:val="2C357EA0"/>
    <w:rsid w:val="2CF83E4C"/>
    <w:rsid w:val="2D460049"/>
    <w:rsid w:val="2EE00424"/>
    <w:rsid w:val="2F3FE4E3"/>
    <w:rsid w:val="2FA23C5C"/>
    <w:rsid w:val="30744ECD"/>
    <w:rsid w:val="30FE127A"/>
    <w:rsid w:val="33301869"/>
    <w:rsid w:val="33785F6D"/>
    <w:rsid w:val="33DD41C3"/>
    <w:rsid w:val="3629686E"/>
    <w:rsid w:val="363D00B8"/>
    <w:rsid w:val="36880893"/>
    <w:rsid w:val="36C60D67"/>
    <w:rsid w:val="36FF2ED4"/>
    <w:rsid w:val="38653BA3"/>
    <w:rsid w:val="388A1EF2"/>
    <w:rsid w:val="392A318C"/>
    <w:rsid w:val="3A742699"/>
    <w:rsid w:val="3A8E746C"/>
    <w:rsid w:val="3BFE7884"/>
    <w:rsid w:val="3CC626D7"/>
    <w:rsid w:val="3CDE4DA8"/>
    <w:rsid w:val="3D46668A"/>
    <w:rsid w:val="3DFE7B07"/>
    <w:rsid w:val="3DFF2C02"/>
    <w:rsid w:val="3F2F6B8F"/>
    <w:rsid w:val="3F7BDCBA"/>
    <w:rsid w:val="40A23390"/>
    <w:rsid w:val="41D654C1"/>
    <w:rsid w:val="422229DB"/>
    <w:rsid w:val="42AC3157"/>
    <w:rsid w:val="43F557C9"/>
    <w:rsid w:val="4493196E"/>
    <w:rsid w:val="484B4866"/>
    <w:rsid w:val="4AAA6714"/>
    <w:rsid w:val="4AEB2504"/>
    <w:rsid w:val="4B49722A"/>
    <w:rsid w:val="4B8B2F80"/>
    <w:rsid w:val="4C190579"/>
    <w:rsid w:val="4E395334"/>
    <w:rsid w:val="4E7901C1"/>
    <w:rsid w:val="4EC8490A"/>
    <w:rsid w:val="4FF52D6F"/>
    <w:rsid w:val="50295A57"/>
    <w:rsid w:val="5049054C"/>
    <w:rsid w:val="50B05148"/>
    <w:rsid w:val="50BF251B"/>
    <w:rsid w:val="50CE2A66"/>
    <w:rsid w:val="5141629C"/>
    <w:rsid w:val="51C95B83"/>
    <w:rsid w:val="53A16D99"/>
    <w:rsid w:val="53E62DFD"/>
    <w:rsid w:val="55970B8B"/>
    <w:rsid w:val="55BD4A9D"/>
    <w:rsid w:val="56D402F0"/>
    <w:rsid w:val="57A17DCA"/>
    <w:rsid w:val="57E404D7"/>
    <w:rsid w:val="57FFCCDB"/>
    <w:rsid w:val="57FFEAC8"/>
    <w:rsid w:val="59CB19CB"/>
    <w:rsid w:val="5A2B2A5F"/>
    <w:rsid w:val="5A740E30"/>
    <w:rsid w:val="5B9D2A61"/>
    <w:rsid w:val="5C9A5173"/>
    <w:rsid w:val="5D8273B1"/>
    <w:rsid w:val="5EF6776F"/>
    <w:rsid w:val="5EFDFF3A"/>
    <w:rsid w:val="5F117C07"/>
    <w:rsid w:val="5F5FA95A"/>
    <w:rsid w:val="5FEF6925"/>
    <w:rsid w:val="623079CE"/>
    <w:rsid w:val="658C6270"/>
    <w:rsid w:val="663F5C18"/>
    <w:rsid w:val="66645216"/>
    <w:rsid w:val="66D2C33F"/>
    <w:rsid w:val="677D22DE"/>
    <w:rsid w:val="67894A2A"/>
    <w:rsid w:val="67EB7DBE"/>
    <w:rsid w:val="687731D1"/>
    <w:rsid w:val="699E381F"/>
    <w:rsid w:val="69A9614C"/>
    <w:rsid w:val="6B0B7C00"/>
    <w:rsid w:val="6DBB590E"/>
    <w:rsid w:val="6E162F1E"/>
    <w:rsid w:val="6FDFC071"/>
    <w:rsid w:val="6FFF347E"/>
    <w:rsid w:val="703603A6"/>
    <w:rsid w:val="711F580A"/>
    <w:rsid w:val="7275721E"/>
    <w:rsid w:val="72CA6E3B"/>
    <w:rsid w:val="73767082"/>
    <w:rsid w:val="73BF023A"/>
    <w:rsid w:val="7493301B"/>
    <w:rsid w:val="74FC0E2B"/>
    <w:rsid w:val="759C4277"/>
    <w:rsid w:val="75C71D1D"/>
    <w:rsid w:val="76FFF093"/>
    <w:rsid w:val="77BC7675"/>
    <w:rsid w:val="77EF713B"/>
    <w:rsid w:val="77F75FFF"/>
    <w:rsid w:val="78E91B70"/>
    <w:rsid w:val="78F49474"/>
    <w:rsid w:val="79B9FF93"/>
    <w:rsid w:val="79D03973"/>
    <w:rsid w:val="79E174D6"/>
    <w:rsid w:val="79FFC297"/>
    <w:rsid w:val="7A9E34FE"/>
    <w:rsid w:val="7AAA7FA9"/>
    <w:rsid w:val="7BDCDDF6"/>
    <w:rsid w:val="7BEF727C"/>
    <w:rsid w:val="7BF790FA"/>
    <w:rsid w:val="7BFFC68C"/>
    <w:rsid w:val="7CD10CAA"/>
    <w:rsid w:val="7D7A4E9D"/>
    <w:rsid w:val="7DEDE3A8"/>
    <w:rsid w:val="7DF71A05"/>
    <w:rsid w:val="7DFC54E7"/>
    <w:rsid w:val="7E436EE6"/>
    <w:rsid w:val="7E5F4018"/>
    <w:rsid w:val="7E6DBA2B"/>
    <w:rsid w:val="7EEB0D94"/>
    <w:rsid w:val="7EF7FB38"/>
    <w:rsid w:val="7F0B7D77"/>
    <w:rsid w:val="7F7920F6"/>
    <w:rsid w:val="7FD718A9"/>
    <w:rsid w:val="7FDFE401"/>
    <w:rsid w:val="7FEB6C82"/>
    <w:rsid w:val="7FFBFB9E"/>
    <w:rsid w:val="7FFD5A63"/>
    <w:rsid w:val="7FFF410B"/>
    <w:rsid w:val="7FFFCBB7"/>
    <w:rsid w:val="877BB17D"/>
    <w:rsid w:val="AEDF8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CB78A"/>
  <w15:docId w15:val="{171214F0-3F6E-48AF-891E-A6B6DB24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宋体"/>
      <w:kern w:val="2"/>
      <w:sz w:val="21"/>
      <w:szCs w:val="22"/>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paragraph" w:customStyle="1" w:styleId="1">
    <w:name w:val="修订1"/>
    <w:hidden/>
    <w:uiPriority w:val="99"/>
    <w:unhideWhenUsed/>
    <w:qFormat/>
    <w:rPr>
      <w:rFonts w:ascii="等线" w:eastAsia="等线" w:hAnsi="等线" w:cs="宋体"/>
      <w:kern w:val="2"/>
      <w:sz w:val="21"/>
      <w:szCs w:val="22"/>
    </w:rPr>
  </w:style>
  <w:style w:type="character" w:customStyle="1" w:styleId="a8">
    <w:name w:val="页眉 字符"/>
    <w:basedOn w:val="a0"/>
    <w:link w:val="a7"/>
    <w:qFormat/>
    <w:rPr>
      <w:rFonts w:ascii="等线" w:eastAsia="等线" w:hAnsi="等线" w:cs="宋体"/>
      <w:kern w:val="2"/>
      <w:sz w:val="18"/>
      <w:szCs w:val="18"/>
    </w:rPr>
  </w:style>
  <w:style w:type="character" w:customStyle="1" w:styleId="a6">
    <w:name w:val="页脚 字符"/>
    <w:basedOn w:val="a0"/>
    <w:link w:val="a5"/>
    <w:qFormat/>
    <w:rPr>
      <w:rFonts w:ascii="等线" w:eastAsia="等线" w:hAnsi="等线" w:cs="宋体"/>
      <w:kern w:val="2"/>
      <w:sz w:val="18"/>
      <w:szCs w:val="18"/>
    </w:rPr>
  </w:style>
  <w:style w:type="paragraph" w:styleId="ab">
    <w:name w:val="List Paragraph"/>
    <w:basedOn w:val="a"/>
    <w:uiPriority w:val="99"/>
    <w:unhideWhenUsed/>
    <w:qFormat/>
    <w:pPr>
      <w:ind w:firstLineChars="200" w:firstLine="420"/>
    </w:pPr>
  </w:style>
  <w:style w:type="character" w:customStyle="1" w:styleId="a4">
    <w:name w:val="批注框文本 字符"/>
    <w:basedOn w:val="a0"/>
    <w:link w:val="a3"/>
    <w:qFormat/>
    <w:rPr>
      <w:rFonts w:ascii="等线" w:eastAsia="等线" w:hAnsi="等线"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996</Words>
  <Characters>5681</Characters>
  <Application>Microsoft Office Word</Application>
  <DocSecurity>0</DocSecurity>
  <Lines>47</Lines>
  <Paragraphs>13</Paragraphs>
  <ScaleCrop>false</ScaleCrop>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zhangjie</cp:lastModifiedBy>
  <cp:revision>9</cp:revision>
  <cp:lastPrinted>2026-09-01T06:55:00Z</cp:lastPrinted>
  <dcterms:created xsi:type="dcterms:W3CDTF">2026-09-01T02:17:00Z</dcterms:created>
  <dcterms:modified xsi:type="dcterms:W3CDTF">2026-09-01T07:28:00Z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FD7738C8C67D44E3B3FB23EDC812F92E_13</vt:lpwstr>
  </property>
  <property fmtid="{D5CDD505-2E9C-101B-9397-08002B2CF9AE}" pid="4" name="KSOTemplateDocerSaveRecord">
    <vt:lpwstr>eyJoZGlkIjoiY2RhMGU3M2JhMDJmOTA2NWQyZDIwM2M2ZDUwYzY1ZmIiLCJ1c2VySWQiOiI0NTk3MzAxNDAifQ==</vt:lpwstr>
  </property>
</Properties>
</file>