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  <w:r w:rsidRPr="00A76DFE">
        <w:rPr>
          <w:rFonts w:ascii="宋体" w:eastAsia="宋体" w:hAnsi="宋体" w:hint="eastAsia"/>
          <w:sz w:val="22"/>
        </w:rPr>
        <w:t>附件1</w:t>
      </w:r>
    </w:p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</w:p>
    <w:p w:rsidR="00A76DFE" w:rsidRPr="00A76DFE" w:rsidRDefault="00A76DFE" w:rsidP="00A76DFE">
      <w:pPr>
        <w:spacing w:line="360" w:lineRule="auto"/>
        <w:jc w:val="center"/>
        <w:rPr>
          <w:rFonts w:ascii="宋体" w:eastAsia="宋体" w:hAnsi="宋体"/>
          <w:b/>
          <w:sz w:val="32"/>
        </w:rPr>
      </w:pPr>
      <w:bookmarkStart w:id="0" w:name="_GoBack"/>
      <w:r w:rsidRPr="00A76DFE">
        <w:rPr>
          <w:rFonts w:ascii="宋体" w:eastAsia="宋体" w:hAnsi="宋体" w:hint="eastAsia"/>
          <w:b/>
          <w:sz w:val="32"/>
        </w:rPr>
        <w:t>202</w:t>
      </w:r>
      <w:r w:rsidRPr="00A76DFE">
        <w:rPr>
          <w:rFonts w:ascii="宋体" w:eastAsia="宋体" w:hAnsi="宋体"/>
          <w:b/>
          <w:sz w:val="32"/>
        </w:rPr>
        <w:t>3</w:t>
      </w:r>
      <w:r w:rsidRPr="00A76DFE">
        <w:rPr>
          <w:rFonts w:ascii="宋体" w:eastAsia="宋体" w:hAnsi="宋体" w:hint="eastAsia"/>
          <w:b/>
          <w:sz w:val="32"/>
        </w:rPr>
        <w:t>年度上海市教育科学研究一般项目指南</w:t>
      </w:r>
      <w:bookmarkEnd w:id="0"/>
    </w:p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</w:p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  <w:r w:rsidRPr="00A76DFE">
        <w:rPr>
          <w:rFonts w:ascii="宋体" w:eastAsia="宋体" w:hAnsi="宋体" w:hint="eastAsia"/>
          <w:sz w:val="22"/>
        </w:rPr>
        <w:t>一、习近平总书记关于教育重要论述专题研究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488"/>
        <w:gridCol w:w="9118"/>
      </w:tblGrid>
      <w:tr w:rsidR="00A76DFE" w:rsidRPr="00A76DFE" w:rsidTr="00407905">
        <w:trPr>
          <w:trHeight w:val="39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</w:t>
            </w:r>
          </w:p>
        </w:tc>
        <w:tc>
          <w:tcPr>
            <w:tcW w:w="9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贯彻落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实习近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平总书记关于新时代教育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公平重要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指示精神研究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贯彻落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实习近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平总书记关于新时代职业教育发展要求的实现路径研究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高校推进习近平新时代中国特色社会主义思想“三进”工作的实践探索及成效研究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高校落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实习近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平总书记法治人才培养要求的方法和路径研究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习近平总书记关于“培养担当民族复兴大任的时代新人”重要论述的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践行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路径研究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习近平总书记关于新时代劳动教育的重要论述研究</w:t>
            </w:r>
          </w:p>
        </w:tc>
      </w:tr>
      <w:tr w:rsidR="00A76DFE" w:rsidRPr="00A76DFE" w:rsidTr="00407905">
        <w:trPr>
          <w:trHeight w:val="397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9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习近平总书记关于教育领域党的建设重要论述与上海贯彻实践研究</w:t>
            </w:r>
          </w:p>
        </w:tc>
      </w:tr>
    </w:tbl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</w:p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  <w:r w:rsidRPr="00A76DFE">
        <w:rPr>
          <w:rFonts w:ascii="宋体" w:eastAsia="宋体" w:hAnsi="宋体" w:hint="eastAsia"/>
          <w:sz w:val="22"/>
        </w:rPr>
        <w:t>二、其他一般项目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636"/>
        <w:gridCol w:w="8970"/>
      </w:tblGrid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提升高校人文社科领域有组织科研的路径研究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高校心理健康教育体系高质量建设研究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新时代教育督导背景下的高校质量文化建设研究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上海高校分类评价视域下的“新高职”办学质量评价研究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产教融合背景下应用技术型高校中外合作办学模式与建设路径研究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总体国家安全观视野下高校保卫干部队伍建设研究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“双碳”目标下高校生态文明建设路径研究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8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完善上海部市共建经费投入体制机制比较研究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9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上海地方高校“双一流”建设经费投入机制改革研究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10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高校继续教育转型发展研究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11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新时期职教学分制实施策略研究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12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新发展阶段上海职业教育体系建设策略研究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13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中小学幼儿园发展性督导的区域实施机制研究</w:t>
            </w:r>
          </w:p>
        </w:tc>
      </w:tr>
    </w:tbl>
    <w:p w:rsidR="00A76DFE" w:rsidRPr="00A76DFE" w:rsidRDefault="00A76DFE" w:rsidP="00A76DFE">
      <w:pPr>
        <w:spacing w:line="360" w:lineRule="auto"/>
        <w:rPr>
          <w:rFonts w:ascii="宋体" w:eastAsia="宋体" w:hAnsi="宋体"/>
          <w:sz w:val="22"/>
        </w:rPr>
      </w:pPr>
      <w:r w:rsidRPr="00A76DFE">
        <w:rPr>
          <w:rFonts w:ascii="宋体" w:eastAsia="宋体" w:hAnsi="宋体"/>
          <w:sz w:val="22"/>
        </w:rPr>
        <w:br w:type="page"/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636"/>
        <w:gridCol w:w="8970"/>
      </w:tblGrid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lastRenderedPageBreak/>
              <w:t>14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新时代完善中小学幼儿园责任督学岗位建设研究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15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义务教育教师交流轮岗的区域推进与督导机制研究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16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城市数字化转型背景下中小学生数字素养测评研究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17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义务教育学校教师弹性工作制与课后服务质量研究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18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新模式基础教育数字化转型: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探索线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上线下融合教学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19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专门学校定位及功能的实现研究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20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中外特大型城市中小学安全教育比较研究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21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新形势下构建中小学校体育人才培养体系研究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22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新时代中小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幼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学生校园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健康建设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路径研究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23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新时代高校辅导员队伍专业化建设研究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24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大中小法治教育一体化实践探索研究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25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“双减”背景下教育培训机构信用监管研究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26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提升港澳台侨</w:t>
            </w:r>
            <w:proofErr w:type="gramStart"/>
            <w:r w:rsidRPr="00A76DFE">
              <w:rPr>
                <w:rFonts w:ascii="宋体" w:eastAsia="宋体" w:hAnsi="宋体" w:hint="eastAsia"/>
                <w:sz w:val="22"/>
              </w:rPr>
              <w:t>学生国情</w:t>
            </w:r>
            <w:proofErr w:type="gramEnd"/>
            <w:r w:rsidRPr="00A76DFE">
              <w:rPr>
                <w:rFonts w:ascii="宋体" w:eastAsia="宋体" w:hAnsi="宋体" w:hint="eastAsia"/>
                <w:sz w:val="22"/>
              </w:rPr>
              <w:t>教育有效性的实践策略研究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27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上海市校外培训综合执法机制研究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28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影响校外培训市场主体有序退出的因素分析与退出机制研究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29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优化完善新时代人才评价体系实践研究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30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新形势下高校人才安全面临的问题及对策研究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31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教育元宇宙的理论构建与探索性应用研究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32</w:t>
            </w:r>
          </w:p>
        </w:tc>
        <w:tc>
          <w:tcPr>
            <w:tcW w:w="8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高校审计数字化建设路径研究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33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数字技术赋能教育评价研究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34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教育数字化转型标准体系研究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35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数据驱动大规模因材施教育人的路径与模式研究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36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上海中小学校建立党组织领导的校长负责制机制研究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37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上海高校推动党建工作和事业发展深度融合机制研究</w:t>
            </w:r>
          </w:p>
        </w:tc>
      </w:tr>
      <w:tr w:rsidR="00A76DFE" w:rsidRPr="00A76DFE" w:rsidTr="00407905">
        <w:trPr>
          <w:trHeight w:hRule="exact" w:val="39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38</w:t>
            </w:r>
          </w:p>
        </w:tc>
        <w:tc>
          <w:tcPr>
            <w:tcW w:w="8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FE" w:rsidRPr="00A76DFE" w:rsidRDefault="00A76DFE" w:rsidP="00A76DFE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A76DFE">
              <w:rPr>
                <w:rFonts w:ascii="宋体" w:eastAsia="宋体" w:hAnsi="宋体" w:hint="eastAsia"/>
                <w:sz w:val="22"/>
              </w:rPr>
              <w:t>老年教育助力“老有所为”的研究</w:t>
            </w:r>
          </w:p>
        </w:tc>
      </w:tr>
    </w:tbl>
    <w:p w:rsidR="001126D5" w:rsidRPr="00A76DFE" w:rsidRDefault="001126D5" w:rsidP="00A76DFE">
      <w:pPr>
        <w:spacing w:line="360" w:lineRule="auto"/>
        <w:rPr>
          <w:rFonts w:ascii="宋体" w:eastAsia="宋体" w:hAnsi="宋体"/>
          <w:sz w:val="22"/>
        </w:rPr>
      </w:pPr>
    </w:p>
    <w:sectPr w:rsidR="001126D5" w:rsidRPr="00A76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FE"/>
    <w:rsid w:val="001126D5"/>
    <w:rsid w:val="00A7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082EA2-5453-4E10-9E4B-4C615148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2022-06-29T06:52:00Z</dcterms:created>
  <dcterms:modified xsi:type="dcterms:W3CDTF">2022-06-29T06:53:00Z</dcterms:modified>
</cp:coreProperties>
</file>